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5000" w:type="pct"/>
        <w:tblInd w:w="0" w:type="dxa"/>
        <w:tblLayout w:type="autofit"/>
        <w:tblCellMar>
          <w:top w:w="0" w:type="dxa"/>
          <w:left w:w="0" w:type="dxa"/>
          <w:bottom w:w="0" w:type="dxa"/>
          <w:right w:w="0" w:type="dxa"/>
        </w:tblCellMar>
      </w:tblPr>
      <w:tblGrid>
        <w:gridCol w:w="8845"/>
      </w:tblGrid>
      <w:tr w14:paraId="420AFE14">
        <w:tblPrEx>
          <w:tblCellMar>
            <w:top w:w="0" w:type="dxa"/>
            <w:left w:w="0" w:type="dxa"/>
            <w:bottom w:w="0" w:type="dxa"/>
            <w:right w:w="0" w:type="dxa"/>
          </w:tblCellMar>
        </w:tblPrEx>
        <w:trPr>
          <w:cantSplit/>
          <w:trHeight w:val="2120" w:hRule="exact"/>
        </w:trPr>
        <w:tc>
          <w:tcPr>
            <w:tcW w:w="5000" w:type="pct"/>
            <w:noWrap w:val="0"/>
            <w:vAlign w:val="top"/>
          </w:tcPr>
          <w:p w14:paraId="480BD029">
            <w:pPr>
              <w:keepNext w:val="0"/>
              <w:keepLines w:val="0"/>
              <w:pageBreakBefore w:val="0"/>
              <w:widowControl w:val="0"/>
              <w:kinsoku/>
              <w:wordWrap/>
              <w:overflowPunct w:val="0"/>
              <w:topLinePunct/>
              <w:autoSpaceDE/>
              <w:autoSpaceDN/>
              <w:bidi w:val="0"/>
              <w:snapToGrid/>
              <w:spacing w:line="240" w:lineRule="auto"/>
              <w:textAlignment w:val="auto"/>
              <w:rPr>
                <w:rFonts w:hint="eastAsia" w:ascii="仿宋" w:hAnsi="仿宋" w:eastAsia="仿宋" w:cs="仿宋"/>
                <w:szCs w:val="32"/>
              </w:rPr>
            </w:pPr>
          </w:p>
          <w:p w14:paraId="15EBBD7F">
            <w:pPr>
              <w:keepNext w:val="0"/>
              <w:keepLines w:val="0"/>
              <w:pageBreakBefore w:val="0"/>
              <w:widowControl w:val="0"/>
              <w:kinsoku/>
              <w:wordWrap/>
              <w:overflowPunct w:val="0"/>
              <w:topLinePunct/>
              <w:autoSpaceDE/>
              <w:autoSpaceDN/>
              <w:bidi w:val="0"/>
              <w:snapToGrid/>
              <w:spacing w:line="240" w:lineRule="auto"/>
              <w:textAlignment w:val="auto"/>
              <w:rPr>
                <w:rFonts w:hint="eastAsia" w:ascii="黑体" w:hAnsi="黑体" w:eastAsia="黑体" w:cs="黑体"/>
              </w:rPr>
            </w:pPr>
          </w:p>
          <w:p w14:paraId="5F53570B">
            <w:pPr>
              <w:keepNext w:val="0"/>
              <w:keepLines w:val="0"/>
              <w:pageBreakBefore w:val="0"/>
              <w:widowControl w:val="0"/>
              <w:kinsoku/>
              <w:wordWrap/>
              <w:overflowPunct w:val="0"/>
              <w:topLinePunct/>
              <w:autoSpaceDE/>
              <w:autoSpaceDN/>
              <w:bidi w:val="0"/>
              <w:snapToGrid/>
              <w:spacing w:line="240" w:lineRule="auto"/>
              <w:textAlignment w:val="auto"/>
              <w:rPr>
                <w:rFonts w:hint="eastAsia" w:ascii="黑体" w:hAnsi="黑体" w:eastAsia="黑体" w:cs="黑体"/>
                <w:szCs w:val="32"/>
              </w:rPr>
            </w:pPr>
          </w:p>
        </w:tc>
      </w:tr>
      <w:tr w14:paraId="22B165B9">
        <w:tblPrEx>
          <w:tblCellMar>
            <w:top w:w="0" w:type="dxa"/>
            <w:left w:w="0" w:type="dxa"/>
            <w:bottom w:w="0" w:type="dxa"/>
            <w:right w:w="0" w:type="dxa"/>
          </w:tblCellMar>
        </w:tblPrEx>
        <w:trPr>
          <w:cantSplit/>
        </w:trPr>
        <w:tc>
          <w:tcPr>
            <w:tcW w:w="5000" w:type="pct"/>
            <w:tcBorders>
              <w:left w:val="nil"/>
            </w:tcBorders>
            <w:noWrap w:val="0"/>
            <w:vAlign w:val="top"/>
          </w:tcPr>
          <w:p w14:paraId="5DA93CBC">
            <w:pPr>
              <w:keepNext w:val="0"/>
              <w:keepLines w:val="0"/>
              <w:pageBreakBefore w:val="0"/>
              <w:widowControl w:val="0"/>
              <w:kinsoku/>
              <w:wordWrap/>
              <w:overflowPunct w:val="0"/>
              <w:topLinePunct/>
              <w:autoSpaceDE/>
              <w:autoSpaceDN/>
              <w:bidi w:val="0"/>
              <w:adjustRightInd w:val="0"/>
              <w:snapToGrid/>
              <w:spacing w:line="1180" w:lineRule="exact"/>
              <w:jc w:val="center"/>
              <w:textAlignment w:val="auto"/>
              <w:rPr>
                <w:rFonts w:hint="eastAsia" w:ascii="方正小标宋_GBK" w:hAnsi="方正小标宋_GBK" w:eastAsia="方正小标宋_GBK" w:cs="方正小标宋_GBK"/>
                <w:color w:val="FF0000"/>
                <w:sz w:val="110"/>
                <w:szCs w:val="110"/>
              </w:rPr>
            </w:pPr>
            <w:r>
              <w:rPr>
                <w:rFonts w:hint="eastAsia" w:ascii="方正小标宋简体" w:hAnsi="方正小标宋简体" w:eastAsia="方正小标宋简体" w:cs="方正小标宋简体"/>
                <w:color w:val="FF0000"/>
                <w:sz w:val="58"/>
                <w:szCs w:val="58"/>
              </w:rPr>
              <w:t>上海市工程建设质量管理协会文件</w:t>
            </w:r>
          </w:p>
        </w:tc>
      </w:tr>
      <w:tr w14:paraId="052B8A1F">
        <w:tblPrEx>
          <w:tblCellMar>
            <w:top w:w="0" w:type="dxa"/>
            <w:left w:w="0" w:type="dxa"/>
            <w:bottom w:w="0" w:type="dxa"/>
            <w:right w:w="0" w:type="dxa"/>
          </w:tblCellMar>
        </w:tblPrEx>
        <w:trPr>
          <w:cantSplit/>
          <w:trHeight w:val="952" w:hRule="exact"/>
        </w:trPr>
        <w:tc>
          <w:tcPr>
            <w:tcW w:w="5000" w:type="pct"/>
            <w:noWrap w:val="0"/>
            <w:vAlign w:val="center"/>
          </w:tcPr>
          <w:p w14:paraId="621693AE">
            <w:pPr>
              <w:keepNext w:val="0"/>
              <w:keepLines w:val="0"/>
              <w:pageBreakBefore w:val="0"/>
              <w:widowControl w:val="0"/>
              <w:kinsoku/>
              <w:wordWrap/>
              <w:overflowPunct w:val="0"/>
              <w:topLinePunct/>
              <w:autoSpaceDE/>
              <w:autoSpaceDN/>
              <w:bidi w:val="0"/>
              <w:snapToGrid/>
              <w:spacing w:line="240" w:lineRule="auto"/>
              <w:jc w:val="center"/>
              <w:textAlignment w:val="auto"/>
              <w:rPr>
                <w:rFonts w:hint="default" w:ascii="仿宋" w:hAnsi="仿宋" w:eastAsia="仿宋" w:cs="仿宋"/>
                <w:lang w:val="en-US" w:eastAsia="zh-CN"/>
              </w:rPr>
            </w:pPr>
            <w:r>
              <w:rPr>
                <w:rFonts w:hint="default" w:ascii="方正小标宋简体" w:hAnsi="方正小标宋简体" w:eastAsia="方正小标宋简体" w:cs="方正小标宋简体"/>
                <w:color w:val="FF0000"/>
                <w:sz w:val="58"/>
                <w:szCs w:val="58"/>
                <w:lang w:val="en-US" w:eastAsia="zh-CN"/>
              </w:rPr>
              <w:t>预制构件专业委员会</w:t>
            </w:r>
          </w:p>
        </w:tc>
      </w:tr>
      <w:tr w14:paraId="1EB15F59">
        <w:tblPrEx>
          <w:tblCellMar>
            <w:top w:w="0" w:type="dxa"/>
            <w:left w:w="0" w:type="dxa"/>
            <w:bottom w:w="0" w:type="dxa"/>
            <w:right w:w="0" w:type="dxa"/>
          </w:tblCellMar>
        </w:tblPrEx>
        <w:trPr>
          <w:cantSplit/>
        </w:trPr>
        <w:tc>
          <w:tcPr>
            <w:tcW w:w="5000" w:type="pct"/>
            <w:noWrap w:val="0"/>
            <w:vAlign w:val="top"/>
          </w:tcPr>
          <w:p w14:paraId="41EBEC12">
            <w:pPr>
              <w:keepNext w:val="0"/>
              <w:keepLines w:val="0"/>
              <w:pageBreakBefore w:val="0"/>
              <w:widowControl w:val="0"/>
              <w:kinsoku/>
              <w:wordWrap/>
              <w:overflowPunct w:val="0"/>
              <w:topLinePunct/>
              <w:autoSpaceDE/>
              <w:autoSpaceDN/>
              <w:bidi w:val="0"/>
              <w:snapToGrid/>
              <w:spacing w:line="240" w:lineRule="auto"/>
              <w:jc w:val="center"/>
              <w:textAlignment w:val="auto"/>
              <w:rPr>
                <w:rFonts w:hint="eastAsia" w:ascii="楷体" w:hAnsi="楷体" w:eastAsia="楷体" w:cs="楷体"/>
                <w:szCs w:val="32"/>
              </w:rPr>
            </w:pPr>
            <w:bookmarkStart w:id="0" w:name="_GoBack"/>
            <w:bookmarkEnd w:id="0"/>
          </w:p>
        </w:tc>
      </w:tr>
      <w:tr w14:paraId="6D821D5C">
        <w:tblPrEx>
          <w:tblCellMar>
            <w:top w:w="0" w:type="dxa"/>
            <w:left w:w="0" w:type="dxa"/>
            <w:bottom w:w="0" w:type="dxa"/>
            <w:right w:w="0" w:type="dxa"/>
          </w:tblCellMar>
        </w:tblPrEx>
        <w:trPr>
          <w:cantSplit/>
          <w:trHeight w:val="113" w:hRule="exact"/>
        </w:trPr>
        <w:tc>
          <w:tcPr>
            <w:tcW w:w="5000" w:type="pct"/>
            <w:tcBorders>
              <w:bottom w:val="single" w:color="FF0000" w:sz="12" w:space="0"/>
            </w:tcBorders>
            <w:noWrap w:val="0"/>
            <w:vAlign w:val="center"/>
          </w:tcPr>
          <w:p w14:paraId="660DE2C7">
            <w:pPr>
              <w:keepNext w:val="0"/>
              <w:keepLines w:val="0"/>
              <w:pageBreakBefore w:val="0"/>
              <w:widowControl w:val="0"/>
              <w:kinsoku/>
              <w:wordWrap/>
              <w:overflowPunct w:val="0"/>
              <w:topLinePunct/>
              <w:autoSpaceDE/>
              <w:autoSpaceDN/>
              <w:bidi w:val="0"/>
              <w:snapToGrid/>
              <w:spacing w:line="240" w:lineRule="auto"/>
              <w:jc w:val="center"/>
              <w:textAlignment w:val="auto"/>
              <w:rPr>
                <w:rFonts w:hint="eastAsia" w:ascii="方正仿宋_GBK" w:hAnsi="方正仿宋_GBK"/>
                <w:b/>
                <w:sz w:val="21"/>
              </w:rPr>
            </w:pPr>
          </w:p>
        </w:tc>
      </w:tr>
    </w:tbl>
    <w:p w14:paraId="1E1247EC">
      <w:pPr>
        <w:keepNext w:val="0"/>
        <w:keepLines w:val="0"/>
        <w:pageBreakBefore w:val="0"/>
        <w:widowControl w:val="0"/>
        <w:kinsoku/>
        <w:wordWrap/>
        <w:overflowPunct w:val="0"/>
        <w:topLinePunct/>
        <w:autoSpaceDE/>
        <w:autoSpaceDN/>
        <w:bidi w:val="0"/>
        <w:adjustRightInd w:val="0"/>
        <w:snapToGrid/>
        <w:spacing w:beforeLines="0" w:after="520" w:afterLines="0" w:line="240" w:lineRule="auto"/>
        <w:ind w:right="0" w:rightChars="0"/>
        <w:jc w:val="both"/>
        <w:textAlignment w:val="auto"/>
        <w:outlineLvl w:val="9"/>
        <w:rPr>
          <w:rFonts w:hint="eastAsia" w:ascii="Times New Roman" w:hAnsi="Times New Roman" w:eastAsia="方正仿宋_GBK" w:cs="Times New Roman"/>
          <w:kern w:val="2"/>
          <w:sz w:val="32"/>
          <w:szCs w:val="32"/>
          <w:lang w:val="en-US" w:eastAsia="zh-CN"/>
        </w:rPr>
      </w:pPr>
    </w:p>
    <w:p w14:paraId="053EA763">
      <w:pPr>
        <w:pStyle w:val="20"/>
        <w:overflowPunct w:val="0"/>
        <w:topLinePunct/>
        <w:autoSpaceDE/>
        <w:autoSpaceDN/>
        <w:bidi w:val="0"/>
        <w:snapToGrid/>
        <w:rPr>
          <w:rFonts w:hint="eastAsia" w:ascii="华文中宋" w:hAnsi="华文中宋" w:eastAsia="华文中宋" w:cs="华文中宋"/>
          <w:b w:val="0"/>
          <w:bCs w:val="0"/>
          <w:kern w:val="2"/>
          <w:sz w:val="36"/>
          <w:szCs w:val="36"/>
          <w:lang w:val="en-US" w:eastAsia="zh-CN"/>
        </w:rPr>
      </w:pPr>
      <w:r>
        <w:rPr>
          <w:rFonts w:hint="eastAsia" w:ascii="华文中宋" w:hAnsi="华文中宋" w:eastAsia="华文中宋" w:cs="华文中宋"/>
          <w:b w:val="0"/>
          <w:bCs w:val="0"/>
          <w:kern w:val="2"/>
          <w:sz w:val="36"/>
          <w:szCs w:val="36"/>
          <w:lang w:val="en-US" w:eastAsia="zh-CN"/>
        </w:rPr>
        <w:t>关于公示《2024年度房建类装配式预制构件企业</w:t>
      </w:r>
    </w:p>
    <w:p w14:paraId="54FE365B">
      <w:pPr>
        <w:pStyle w:val="20"/>
        <w:overflowPunct w:val="0"/>
        <w:topLinePunct/>
        <w:autoSpaceDE/>
        <w:autoSpaceDN/>
        <w:bidi w:val="0"/>
        <w:snapToGrid/>
        <w:rPr>
          <w:rFonts w:hint="eastAsia" w:ascii="华文中宋" w:hAnsi="华文中宋" w:eastAsia="华文中宋" w:cs="华文中宋"/>
          <w:b w:val="0"/>
          <w:bCs w:val="0"/>
          <w:kern w:val="2"/>
          <w:sz w:val="36"/>
          <w:szCs w:val="36"/>
          <w:lang w:val="en-US" w:eastAsia="zh-CN"/>
        </w:rPr>
      </w:pPr>
      <w:r>
        <w:rPr>
          <w:rFonts w:hint="eastAsia" w:ascii="华文中宋" w:hAnsi="华文中宋" w:eastAsia="华文中宋" w:cs="华文中宋"/>
          <w:b w:val="0"/>
          <w:bCs w:val="0"/>
          <w:kern w:val="2"/>
          <w:sz w:val="36"/>
          <w:szCs w:val="36"/>
          <w:lang w:val="en-US" w:eastAsia="zh-CN"/>
        </w:rPr>
        <w:t>诚信及质量管理能力等级评价名单》的通知</w:t>
      </w:r>
    </w:p>
    <w:p w14:paraId="195C30ED">
      <w:pPr>
        <w:keepNext w:val="0"/>
        <w:keepLines w:val="0"/>
        <w:pageBreakBefore w:val="0"/>
        <w:widowControl w:val="0"/>
        <w:kinsoku/>
        <w:wordWrap/>
        <w:overflowPunct w:val="0"/>
        <w:topLinePunct/>
        <w:autoSpaceDE/>
        <w:autoSpaceDN/>
        <w:bidi w:val="0"/>
        <w:adjustRightInd w:val="0"/>
        <w:snapToGrid/>
        <w:spacing w:beforeLines="0" w:afterLines="0" w:line="240" w:lineRule="exact"/>
        <w:ind w:right="0" w:rightChars="0"/>
        <w:jc w:val="both"/>
        <w:textAlignment w:val="auto"/>
        <w:outlineLvl w:val="9"/>
        <w:rPr>
          <w:rFonts w:hint="eastAsia" w:ascii="Times New Roman" w:hAnsi="Times New Roman" w:eastAsia="方正仿宋_GBK" w:cs="Times New Roman"/>
          <w:kern w:val="2"/>
          <w:sz w:val="32"/>
          <w:szCs w:val="32"/>
          <w:lang w:val="en-US" w:eastAsia="zh-CN"/>
        </w:rPr>
      </w:pPr>
    </w:p>
    <w:p w14:paraId="0941FA0F">
      <w:pPr>
        <w:keepNext w:val="0"/>
        <w:keepLines w:val="0"/>
        <w:pageBreakBefore w:val="0"/>
        <w:widowControl w:val="0"/>
        <w:kinsoku/>
        <w:wordWrap/>
        <w:overflowPunct w:val="0"/>
        <w:topLinePunct/>
        <w:autoSpaceDE/>
        <w:autoSpaceDN/>
        <w:bidi w:val="0"/>
        <w:snapToGrid/>
        <w:jc w:val="left"/>
        <w:textAlignment w:val="auto"/>
        <w:rPr>
          <w:rFonts w:hint="eastAsia" w:ascii="仿宋" w:hAnsi="仿宋" w:eastAsia="仿宋" w:cs="仿宋"/>
          <w:sz w:val="30"/>
          <w:szCs w:val="30"/>
        </w:rPr>
      </w:pPr>
    </w:p>
    <w:p w14:paraId="011EC580">
      <w:pPr>
        <w:keepNext w:val="0"/>
        <w:keepLines w:val="0"/>
        <w:pageBreakBefore w:val="0"/>
        <w:widowControl w:val="0"/>
        <w:kinsoku/>
        <w:wordWrap/>
        <w:overflowPunct w:val="0"/>
        <w:topLinePunct/>
        <w:autoSpaceDE/>
        <w:autoSpaceDN/>
        <w:bidi w:val="0"/>
        <w:snapToGrid/>
        <w:jc w:val="left"/>
        <w:textAlignment w:val="auto"/>
        <w:rPr>
          <w:rFonts w:hint="eastAsia" w:ascii="仿宋" w:hAnsi="仿宋" w:eastAsia="仿宋" w:cs="仿宋"/>
          <w:kern w:val="2"/>
          <w:sz w:val="30"/>
          <w:szCs w:val="30"/>
          <w:lang w:val="en-US" w:eastAsia="zh-CN"/>
        </w:rPr>
      </w:pPr>
      <w:r>
        <w:rPr>
          <w:rFonts w:hint="eastAsia" w:ascii="仿宋" w:hAnsi="仿宋" w:eastAsia="仿宋" w:cs="仿宋"/>
          <w:sz w:val="30"/>
          <w:szCs w:val="30"/>
        </w:rPr>
        <w:t>各位</w:t>
      </w:r>
      <w:r>
        <w:rPr>
          <w:rFonts w:hint="eastAsia" w:ascii="仿宋" w:hAnsi="仿宋" w:eastAsia="仿宋" w:cs="仿宋"/>
          <w:sz w:val="30"/>
          <w:szCs w:val="30"/>
          <w:lang w:val="en-US" w:eastAsia="zh-CN"/>
        </w:rPr>
        <w:t>有</w:t>
      </w:r>
      <w:r>
        <w:rPr>
          <w:rFonts w:hint="eastAsia" w:ascii="仿宋" w:hAnsi="仿宋" w:eastAsia="仿宋" w:cs="仿宋"/>
          <w:sz w:val="30"/>
          <w:szCs w:val="30"/>
        </w:rPr>
        <w:t>关单位：</w:t>
      </w:r>
    </w:p>
    <w:p w14:paraId="60D0E64B">
      <w:pPr>
        <w:pStyle w:val="12"/>
        <w:numPr>
          <w:ilvl w:val="0"/>
          <w:numId w:val="0"/>
        </w:numPr>
        <w:overflowPunct w:val="0"/>
        <w:topLinePunct/>
        <w:autoSpaceDE/>
        <w:autoSpaceDN/>
        <w:snapToGrid/>
        <w:ind w:firstLine="646" w:firstLineChars="200"/>
        <w:rPr>
          <w:rFonts w:hint="eastAsia" w:ascii="仿宋" w:hAnsi="仿宋" w:eastAsia="仿宋" w:cs="仿宋"/>
          <w:color w:val="auto"/>
          <w:spacing w:val="8"/>
          <w:kern w:val="0"/>
          <w:sz w:val="30"/>
          <w:szCs w:val="30"/>
        </w:rPr>
      </w:pPr>
      <w:r>
        <w:rPr>
          <w:rFonts w:hint="eastAsia" w:ascii="仿宋" w:hAnsi="仿宋" w:eastAsia="仿宋" w:cs="仿宋"/>
          <w:color w:val="auto"/>
          <w:spacing w:val="8"/>
          <w:kern w:val="0"/>
          <w:sz w:val="30"/>
          <w:szCs w:val="30"/>
          <w:lang w:val="en-US" w:eastAsia="zh-CN"/>
        </w:rPr>
        <w:t>根据《关于进一步协调推进打击假冒伪劣建材产品工作的通知》(沪建建材联(2018)331号)、《加强本市装配式建筑混凝土预制构件管理的实施意见》(沪建建材[2022]430号)、《上海市智能建造试点项目管理规定(暂行)》的通知(沪建建材(2024)254号)及备案文件中企业诚信检查要求。结合本市预制构件市场实际情况，落实行业自律管理工作，本轮“上海市房建类装配式构件综合能力评定”工作于2024年11月12日正式开始，用时2个月，于2025年1月2日完成。参与评比的单位为84家</w:t>
      </w:r>
      <w:r>
        <w:rPr>
          <w:rFonts w:hint="eastAsia" w:ascii="仿宋" w:hAnsi="仿宋" w:eastAsia="仿宋" w:cs="仿宋"/>
          <w:color w:val="auto"/>
          <w:spacing w:val="8"/>
          <w:kern w:val="0"/>
          <w:sz w:val="30"/>
          <w:szCs w:val="30"/>
        </w:rPr>
        <w:t>。</w:t>
      </w:r>
    </w:p>
    <w:p w14:paraId="0D3F109F">
      <w:pPr>
        <w:pStyle w:val="12"/>
        <w:numPr>
          <w:ilvl w:val="0"/>
          <w:numId w:val="0"/>
        </w:numPr>
        <w:overflowPunct w:val="0"/>
        <w:topLinePunct/>
        <w:autoSpaceDE/>
        <w:autoSpaceDN/>
        <w:snapToGrid/>
        <w:ind w:firstLine="646" w:firstLineChars="200"/>
        <w:rPr>
          <w:rFonts w:hint="eastAsia" w:ascii="仿宋" w:hAnsi="仿宋" w:eastAsia="仿宋" w:cs="仿宋"/>
          <w:color w:val="auto"/>
          <w:spacing w:val="8"/>
          <w:kern w:val="0"/>
          <w:sz w:val="30"/>
          <w:szCs w:val="30"/>
          <w:lang w:val="en-US" w:eastAsia="zh-CN"/>
        </w:rPr>
      </w:pPr>
      <w:r>
        <w:rPr>
          <w:rFonts w:hint="eastAsia" w:ascii="仿宋" w:hAnsi="仿宋" w:eastAsia="仿宋" w:cs="仿宋"/>
          <w:color w:val="auto"/>
          <w:spacing w:val="8"/>
          <w:kern w:val="0"/>
          <w:sz w:val="30"/>
          <w:szCs w:val="30"/>
          <w:lang w:val="en-US" w:eastAsia="zh-CN"/>
        </w:rPr>
        <w:t>本轮综合能力评定经上海市工程建设质量管理协会预制构件专业委员会组织行业专家进行内业资料及诚信评价、企业智能制造评价、委托第三方权威机构对其产品进行检测，汇总结果后经专家评委会讨论、投票、核准企业等级，报协会同意，现将评价排名进行公示（见附件）。</w:t>
      </w:r>
    </w:p>
    <w:p w14:paraId="1A301953">
      <w:pPr>
        <w:pStyle w:val="12"/>
        <w:numPr>
          <w:ilvl w:val="0"/>
          <w:numId w:val="0"/>
        </w:numPr>
        <w:overflowPunct w:val="0"/>
        <w:topLinePunct/>
        <w:autoSpaceDE/>
        <w:autoSpaceDN/>
        <w:snapToGrid/>
        <w:ind w:firstLine="646" w:firstLineChars="200"/>
        <w:rPr>
          <w:rFonts w:hint="eastAsia" w:ascii="仿宋" w:hAnsi="仿宋" w:eastAsia="仿宋" w:cs="仿宋"/>
          <w:color w:val="auto"/>
          <w:spacing w:val="8"/>
          <w:kern w:val="0"/>
          <w:sz w:val="30"/>
          <w:szCs w:val="30"/>
          <w:lang w:val="en-US" w:eastAsia="zh-CN"/>
        </w:rPr>
      </w:pPr>
      <w:r>
        <w:rPr>
          <w:rFonts w:hint="eastAsia" w:ascii="仿宋" w:hAnsi="仿宋" w:eastAsia="仿宋" w:cs="仿宋"/>
          <w:color w:val="auto"/>
          <w:spacing w:val="8"/>
          <w:kern w:val="0"/>
          <w:sz w:val="30"/>
          <w:szCs w:val="30"/>
          <w:lang w:val="en-US" w:eastAsia="zh-CN"/>
        </w:rPr>
        <w:t>公示为期1个月，如有异议可反馈至构件专委会。</w:t>
      </w:r>
    </w:p>
    <w:p w14:paraId="1713F723">
      <w:pPr>
        <w:pStyle w:val="12"/>
        <w:numPr>
          <w:ilvl w:val="0"/>
          <w:numId w:val="0"/>
        </w:numPr>
        <w:overflowPunct w:val="0"/>
        <w:topLinePunct/>
        <w:autoSpaceDE/>
        <w:autoSpaceDN/>
        <w:snapToGrid/>
        <w:rPr>
          <w:rFonts w:hint="eastAsia" w:ascii="仿宋" w:hAnsi="仿宋" w:eastAsia="仿宋" w:cs="仿宋"/>
          <w:color w:val="auto"/>
          <w:spacing w:val="8"/>
          <w:kern w:val="0"/>
          <w:sz w:val="30"/>
          <w:szCs w:val="30"/>
          <w:lang w:val="en-US" w:eastAsia="zh-CN"/>
        </w:rPr>
      </w:pPr>
      <w:r>
        <w:rPr>
          <w:rFonts w:hint="eastAsia" w:ascii="仿宋" w:hAnsi="仿宋" w:eastAsia="仿宋" w:cs="仿宋"/>
          <w:color w:val="auto"/>
          <w:spacing w:val="8"/>
          <w:kern w:val="0"/>
          <w:sz w:val="30"/>
          <w:szCs w:val="30"/>
          <w:lang w:val="en-US" w:eastAsia="zh-CN"/>
        </w:rPr>
        <w:t>联系人：曹荣   电话：13818224429</w:t>
      </w:r>
    </w:p>
    <w:p w14:paraId="0EF53D18">
      <w:pPr>
        <w:pStyle w:val="12"/>
        <w:widowControl/>
        <w:overflowPunct w:val="0"/>
        <w:topLinePunct/>
        <w:autoSpaceDE/>
        <w:autoSpaceDN/>
        <w:snapToGrid/>
        <w:rPr>
          <w:rFonts w:hint="eastAsia" w:ascii="仿宋" w:hAnsi="仿宋" w:eastAsia="仿宋" w:cs="仿宋"/>
          <w:color w:val="auto"/>
          <w:sz w:val="30"/>
          <w:szCs w:val="30"/>
        </w:rPr>
      </w:pPr>
    </w:p>
    <w:p w14:paraId="6322DEAF">
      <w:pPr>
        <w:pStyle w:val="12"/>
        <w:widowControl/>
        <w:overflowPunct w:val="0"/>
        <w:topLinePunct/>
        <w:autoSpaceDE/>
        <w:autoSpaceDN/>
        <w:snapToGrid/>
        <w:ind w:left="0" w:leftChars="0" w:firstLine="637" w:firstLineChars="216"/>
        <w:rPr>
          <w:rFonts w:hint="eastAsia" w:ascii="仿宋" w:hAnsi="仿宋" w:eastAsia="仿宋" w:cs="仿宋"/>
          <w:color w:val="auto"/>
          <w:sz w:val="30"/>
          <w:szCs w:val="30"/>
        </w:rPr>
      </w:pPr>
      <w:r>
        <w:rPr>
          <w:rFonts w:hint="eastAsia" w:ascii="仿宋" w:hAnsi="仿宋" w:eastAsia="仿宋" w:cs="仿宋"/>
          <w:color w:val="auto"/>
          <w:sz w:val="30"/>
          <w:szCs w:val="30"/>
        </w:rPr>
        <w:t xml:space="preserve">特此通知。      </w:t>
      </w:r>
    </w:p>
    <w:p w14:paraId="61B15376">
      <w:pPr>
        <w:pStyle w:val="12"/>
        <w:widowControl/>
        <w:overflowPunct w:val="0"/>
        <w:topLinePunct/>
        <w:autoSpaceDE/>
        <w:autoSpaceDN/>
        <w:snapToGrid/>
        <w:ind w:left="0" w:leftChars="0" w:firstLine="637" w:firstLineChars="216"/>
        <w:rPr>
          <w:rFonts w:hint="eastAsia" w:ascii="仿宋" w:hAnsi="仿宋" w:eastAsia="仿宋" w:cs="仿宋"/>
          <w:color w:val="auto"/>
          <w:sz w:val="30"/>
          <w:szCs w:val="30"/>
        </w:rPr>
      </w:pPr>
    </w:p>
    <w:p w14:paraId="000ED81E">
      <w:pPr>
        <w:pStyle w:val="12"/>
        <w:widowControl/>
        <w:overflowPunct w:val="0"/>
        <w:topLinePunct/>
        <w:autoSpaceDE/>
        <w:autoSpaceDN/>
        <w:snapToGrid/>
        <w:ind w:left="0" w:leftChars="0" w:firstLine="637" w:firstLineChars="216"/>
        <w:rPr>
          <w:rFonts w:hint="eastAsia" w:ascii="仿宋" w:hAnsi="仿宋" w:eastAsia="仿宋" w:cs="仿宋"/>
          <w:color w:val="auto"/>
          <w:sz w:val="30"/>
          <w:szCs w:val="30"/>
        </w:rPr>
      </w:pPr>
    </w:p>
    <w:p w14:paraId="40A1B5ED">
      <w:pPr>
        <w:pStyle w:val="12"/>
        <w:widowControl/>
        <w:overflowPunct w:val="0"/>
        <w:topLinePunct/>
        <w:autoSpaceDE/>
        <w:autoSpaceDN/>
        <w:snapToGrid/>
        <w:ind w:left="0" w:leftChars="0" w:firstLine="637" w:firstLineChars="216"/>
        <w:rPr>
          <w:rFonts w:hint="eastAsia" w:ascii="仿宋" w:hAnsi="仿宋" w:eastAsia="仿宋" w:cs="仿宋"/>
          <w:color w:val="auto"/>
          <w:sz w:val="30"/>
          <w:szCs w:val="30"/>
        </w:rPr>
      </w:pPr>
      <w:r>
        <w:rPr>
          <w:rFonts w:hint="eastAsia" w:ascii="仿宋" w:hAnsi="仿宋" w:eastAsia="仿宋" w:cs="仿宋"/>
          <w:color w:val="auto"/>
          <w:sz w:val="30"/>
          <w:szCs w:val="30"/>
        </w:rPr>
        <w:t xml:space="preserve">                    </w:t>
      </w:r>
    </w:p>
    <w:tbl>
      <w:tblPr>
        <w:tblStyle w:val="2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3" w:type="dxa"/>
          <w:left w:w="0" w:type="dxa"/>
          <w:bottom w:w="0" w:type="dxa"/>
          <w:right w:w="0" w:type="dxa"/>
        </w:tblCellMar>
      </w:tblPr>
      <w:tblGrid>
        <w:gridCol w:w="1563"/>
        <w:gridCol w:w="7280"/>
      </w:tblGrid>
      <w:tr w14:paraId="5CDE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3" w:type="dxa"/>
            <w:left w:w="0" w:type="dxa"/>
            <w:bottom w:w="0" w:type="dxa"/>
            <w:right w:w="0" w:type="dxa"/>
          </w:tblCellMar>
        </w:tblPrEx>
        <w:trPr>
          <w:trHeight w:val="0" w:hRule="atLeast"/>
        </w:trPr>
        <w:tc>
          <w:tcPr>
            <w:tcW w:w="884" w:type="pct"/>
            <w:tcBorders>
              <w:tl2br w:val="nil"/>
              <w:tr2bl w:val="nil"/>
            </w:tcBorders>
            <w:noWrap w:val="0"/>
            <w:vAlign w:val="top"/>
          </w:tcPr>
          <w:p w14:paraId="694E08EB">
            <w:pPr>
              <w:rPr>
                <w:rFonts w:hint="eastAsia" w:ascii="仿宋" w:hAnsi="仿宋" w:eastAsia="仿宋" w:cs="仿宋"/>
                <w:sz w:val="30"/>
                <w:szCs w:val="30"/>
              </w:rPr>
            </w:pPr>
            <w:r>
              <w:rPr>
                <w:rFonts w:hint="eastAsia" w:ascii="仿宋" w:hAnsi="仿宋" w:eastAsia="仿宋" w:cs="仿宋"/>
                <w:sz w:val="30"/>
                <w:szCs w:val="30"/>
              </w:rPr>
              <w:t>附件：</w:t>
            </w:r>
          </w:p>
          <w:p w14:paraId="2B3EEFAA">
            <w:pPr>
              <w:keepNext w:val="0"/>
              <w:keepLines w:val="0"/>
              <w:pageBreakBefore w:val="0"/>
              <w:widowControl w:val="0"/>
              <w:kinsoku/>
              <w:wordWrap/>
              <w:overflowPunct w:val="0"/>
              <w:topLinePunct/>
              <w:autoSpaceDE/>
              <w:autoSpaceDN/>
              <w:bidi w:val="0"/>
              <w:adjustRightInd/>
              <w:snapToGrid/>
              <w:spacing w:line="240" w:lineRule="auto"/>
              <w:ind w:left="630" w:leftChars="200" w:right="0" w:rightChars="0" w:firstLine="0" w:firstLineChars="0"/>
              <w:jc w:val="both"/>
              <w:textAlignment w:val="auto"/>
              <w:outlineLvl w:val="9"/>
              <w:rPr>
                <w:rFonts w:hint="eastAsia" w:ascii="仿宋" w:hAnsi="仿宋" w:eastAsia="仿宋" w:cs="仿宋"/>
                <w:sz w:val="30"/>
                <w:szCs w:val="30"/>
                <w:vertAlign w:val="baseline"/>
                <w:lang w:val="en-US" w:eastAsia="zh-CN"/>
              </w:rPr>
            </w:pPr>
          </w:p>
        </w:tc>
        <w:tc>
          <w:tcPr>
            <w:tcW w:w="4115" w:type="pct"/>
            <w:tcBorders>
              <w:tl2br w:val="nil"/>
              <w:tr2bl w:val="nil"/>
            </w:tcBorders>
            <w:noWrap w:val="0"/>
            <w:vAlign w:val="top"/>
          </w:tcPr>
          <w:p w14:paraId="0B08EA79">
            <w:pPr>
              <w:keepNext w:val="0"/>
              <w:keepLines w:val="0"/>
              <w:pageBreakBefore w:val="0"/>
              <w:widowControl w:val="0"/>
              <w:numPr>
                <w:ilvl w:val="0"/>
                <w:numId w:val="0"/>
              </w:numPr>
              <w:kinsoku/>
              <w:wordWrap/>
              <w:overflowPunct w:val="0"/>
              <w:topLinePunct/>
              <w:autoSpaceDE/>
              <w:autoSpaceDN/>
              <w:bidi w:val="0"/>
              <w:adjustRightInd/>
              <w:snapToGrid/>
              <w:spacing w:line="240" w:lineRule="auto"/>
              <w:ind w:leftChars="0" w:right="0" w:right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年度</w:t>
            </w:r>
            <w:r>
              <w:rPr>
                <w:rFonts w:hint="eastAsia" w:ascii="仿宋" w:hAnsi="仿宋" w:eastAsia="仿宋" w:cs="仿宋"/>
                <w:sz w:val="30"/>
                <w:szCs w:val="30"/>
                <w:lang w:val="en-US" w:eastAsia="zh-CN"/>
              </w:rPr>
              <w:t>房建类装配式预制构件</w:t>
            </w:r>
            <w:r>
              <w:rPr>
                <w:rFonts w:hint="eastAsia" w:ascii="仿宋" w:hAnsi="仿宋" w:eastAsia="仿宋" w:cs="仿宋"/>
                <w:sz w:val="30"/>
                <w:szCs w:val="30"/>
              </w:rPr>
              <w:t>企业</w:t>
            </w:r>
            <w:r>
              <w:rPr>
                <w:rFonts w:hint="eastAsia" w:ascii="仿宋" w:hAnsi="仿宋" w:eastAsia="仿宋" w:cs="仿宋"/>
                <w:sz w:val="30"/>
                <w:szCs w:val="30"/>
                <w:lang w:val="en-US" w:eastAsia="zh-CN"/>
              </w:rPr>
              <w:t>诚信及质量管理能力等级评价名单</w:t>
            </w:r>
          </w:p>
        </w:tc>
      </w:tr>
      <w:tr w14:paraId="638E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3" w:type="dxa"/>
            <w:left w:w="0" w:type="dxa"/>
            <w:bottom w:w="0" w:type="dxa"/>
            <w:right w:w="0" w:type="dxa"/>
          </w:tblCellMar>
        </w:tblPrEx>
        <w:trPr>
          <w:trHeight w:val="312" w:hRule="exact"/>
        </w:trPr>
        <w:tc>
          <w:tcPr>
            <w:tcW w:w="5000" w:type="pct"/>
            <w:gridSpan w:val="2"/>
            <w:tcBorders>
              <w:tl2br w:val="nil"/>
              <w:tr2bl w:val="nil"/>
            </w:tcBorders>
            <w:noWrap w:val="0"/>
            <w:vAlign w:val="top"/>
          </w:tcPr>
          <w:p w14:paraId="6756A7FC">
            <w:pPr>
              <w:keepNext w:val="0"/>
              <w:keepLines w:val="0"/>
              <w:pageBreakBefore w:val="0"/>
              <w:widowControl w:val="0"/>
              <w:kinsoku/>
              <w:wordWrap/>
              <w:overflowPunct w:val="0"/>
              <w:topLinePunct/>
              <w:autoSpaceDE/>
              <w:autoSpaceDN/>
              <w:bidi w:val="0"/>
              <w:snapToGrid/>
              <w:spacing w:line="240" w:lineRule="auto"/>
              <w:jc w:val="both"/>
              <w:textAlignment w:val="auto"/>
              <w:outlineLvl w:val="9"/>
              <w:rPr>
                <w:rFonts w:hint="eastAsia" w:ascii="仿宋" w:hAnsi="仿宋" w:eastAsia="仿宋" w:cs="仿宋"/>
                <w:sz w:val="30"/>
                <w:szCs w:val="30"/>
              </w:rPr>
            </w:pPr>
          </w:p>
        </w:tc>
      </w:tr>
      <w:tr w14:paraId="73C6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3" w:type="dxa"/>
            <w:left w:w="0" w:type="dxa"/>
            <w:bottom w:w="0" w:type="dxa"/>
            <w:right w:w="0" w:type="dxa"/>
          </w:tblCellMar>
        </w:tblPrEx>
        <w:trPr>
          <w:trHeight w:val="23" w:hRule="atLeast"/>
        </w:trPr>
        <w:tc>
          <w:tcPr>
            <w:tcW w:w="5000" w:type="pct"/>
            <w:gridSpan w:val="2"/>
            <w:tcBorders>
              <w:tl2br w:val="nil"/>
              <w:tr2bl w:val="nil"/>
            </w:tcBorders>
            <w:noWrap w:val="0"/>
            <w:vAlign w:val="center"/>
          </w:tcPr>
          <w:p w14:paraId="688643ED">
            <w:pPr>
              <w:keepNext w:val="0"/>
              <w:keepLines w:val="0"/>
              <w:pageBreakBefore w:val="0"/>
              <w:widowControl w:val="0"/>
              <w:kinsoku/>
              <w:wordWrap/>
              <w:overflowPunct w:val="0"/>
              <w:topLinePunct/>
              <w:autoSpaceDE/>
              <w:autoSpaceDN/>
              <w:bidi w:val="0"/>
              <w:adjustRightInd/>
              <w:snapToGrid/>
              <w:spacing w:before="0" w:beforeLines="0" w:after="0" w:afterLines="0" w:line="240" w:lineRule="auto"/>
              <w:ind w:left="0" w:leftChars="0" w:right="630" w:rightChars="200" w:firstLine="0" w:firstLineChars="0"/>
              <w:jc w:val="right"/>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上海市工程建设质量管理协会</w:t>
            </w:r>
          </w:p>
          <w:p w14:paraId="05886578">
            <w:pPr>
              <w:keepNext w:val="0"/>
              <w:keepLines w:val="0"/>
              <w:pageBreakBefore w:val="0"/>
              <w:widowControl w:val="0"/>
              <w:kinsoku/>
              <w:wordWrap/>
              <w:overflowPunct w:val="0"/>
              <w:topLinePunct/>
              <w:autoSpaceDE/>
              <w:autoSpaceDN/>
              <w:bidi w:val="0"/>
              <w:adjustRightInd/>
              <w:snapToGrid/>
              <w:spacing w:before="0" w:beforeLines="0" w:after="0" w:afterLines="0" w:line="240" w:lineRule="auto"/>
              <w:ind w:left="0" w:leftChars="0" w:right="630" w:rightChars="200" w:firstLine="0" w:firstLineChars="0"/>
              <w:jc w:val="right"/>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预制构件专业委员会</w:t>
            </w:r>
          </w:p>
          <w:p w14:paraId="6A838011">
            <w:pPr>
              <w:keepNext w:val="0"/>
              <w:keepLines w:val="0"/>
              <w:pageBreakBefore w:val="0"/>
              <w:widowControl w:val="0"/>
              <w:kinsoku/>
              <w:wordWrap/>
              <w:overflowPunct w:val="0"/>
              <w:topLinePunct/>
              <w:autoSpaceDE/>
              <w:autoSpaceDN/>
              <w:bidi w:val="0"/>
              <w:adjustRightInd/>
              <w:snapToGrid/>
              <w:spacing w:before="0" w:beforeLines="0" w:after="0" w:afterLines="0" w:line="240" w:lineRule="auto"/>
              <w:ind w:left="0" w:leftChars="0" w:right="630" w:rightChars="200" w:firstLine="0" w:firstLineChars="0"/>
              <w:jc w:val="right"/>
              <w:textAlignment w:val="auto"/>
              <w:outlineLvl w:val="9"/>
              <w:rPr>
                <w:rFonts w:hint="eastAsia" w:ascii="仿宋" w:hAnsi="仿宋" w:eastAsia="仿宋" w:cs="仿宋"/>
                <w:sz w:val="30"/>
                <w:szCs w:val="30"/>
                <w:lang w:val="en-US" w:eastAsia="zh-CN"/>
              </w:rPr>
            </w:pPr>
            <w:r>
              <w:rPr>
                <w:rFonts w:hint="default" w:ascii="Times New Roman" w:hAnsi="Times New Roman" w:eastAsia="仿宋" w:cs="Times New Roman"/>
                <w:sz w:val="30"/>
                <w:szCs w:val="30"/>
                <w:lang w:val="en-US" w:eastAsia="zh-CN"/>
              </w:rPr>
              <w:t>2025</w:t>
            </w:r>
            <w:r>
              <w:rPr>
                <w:rFonts w:hint="eastAsia" w:ascii="仿宋" w:hAnsi="仿宋" w:eastAsia="仿宋" w:cs="仿宋"/>
                <w:sz w:val="30"/>
                <w:szCs w:val="30"/>
                <w:lang w:val="en-US" w:eastAsia="zh-CN"/>
              </w:rPr>
              <w:t>年</w:t>
            </w:r>
            <w:r>
              <w:rPr>
                <w:rFonts w:hint="eastAsia" w:eastAsia="仿宋" w:cs="Times New Roman"/>
                <w:sz w:val="30"/>
                <w:szCs w:val="30"/>
                <w:lang w:val="en-US" w:eastAsia="zh-CN"/>
              </w:rPr>
              <w:t>3</w:t>
            </w:r>
            <w:r>
              <w:rPr>
                <w:rFonts w:hint="eastAsia" w:ascii="仿宋" w:hAnsi="仿宋" w:eastAsia="仿宋" w:cs="仿宋"/>
                <w:sz w:val="30"/>
                <w:szCs w:val="30"/>
                <w:lang w:val="en-US" w:eastAsia="zh-CN"/>
              </w:rPr>
              <w:t>月</w:t>
            </w:r>
            <w:r>
              <w:rPr>
                <w:rFonts w:hint="eastAsia" w:eastAsia="仿宋" w:cs="Times New Roman"/>
                <w:sz w:val="30"/>
                <w:szCs w:val="30"/>
                <w:lang w:val="en-US" w:eastAsia="zh-CN"/>
              </w:rPr>
              <w:t>3</w:t>
            </w:r>
            <w:r>
              <w:rPr>
                <w:rFonts w:hint="eastAsia" w:ascii="仿宋" w:hAnsi="仿宋" w:eastAsia="仿宋" w:cs="仿宋"/>
                <w:sz w:val="30"/>
                <w:szCs w:val="30"/>
                <w:lang w:val="en-US" w:eastAsia="zh-CN"/>
              </w:rPr>
              <w:t>日</w:t>
            </w:r>
          </w:p>
        </w:tc>
      </w:tr>
    </w:tbl>
    <w:tbl>
      <w:tblPr>
        <w:tblStyle w:val="21"/>
        <w:tblpPr w:leftFromText="181" w:rightFromText="181" w:horzAnchor="margin" w:tblpXSpec="center" w:tblpYSpec="bottom"/>
        <w:tblOverlap w:val="never"/>
        <w:tblW w:w="0" w:type="auto"/>
        <w:jc w:val="center"/>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8"/>
        <w:gridCol w:w="4436"/>
      </w:tblGrid>
      <w:tr w14:paraId="12EABC6D">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0" w:hRule="atLeast"/>
          <w:jc w:val="center"/>
        </w:trPr>
        <w:tc>
          <w:tcPr>
            <w:tcW w:w="4408" w:type="dxa"/>
            <w:tcBorders>
              <w:top w:val="single" w:color="auto" w:sz="6" w:space="0"/>
              <w:bottom w:val="single" w:color="auto" w:sz="8" w:space="0"/>
            </w:tcBorders>
            <w:noWrap w:val="0"/>
            <w:vAlign w:val="center"/>
          </w:tcPr>
          <w:p w14:paraId="2EEBE3DF">
            <w:pPr>
              <w:keepNext w:val="0"/>
              <w:keepLines w:val="0"/>
              <w:pageBreakBefore w:val="0"/>
              <w:widowControl w:val="0"/>
              <w:kinsoku/>
              <w:wordWrap/>
              <w:overflowPunct w:val="0"/>
              <w:topLinePunct/>
              <w:autoSpaceDE/>
              <w:autoSpaceDN/>
              <w:bidi w:val="0"/>
              <w:snapToGrid/>
              <w:spacing w:line="240" w:lineRule="auto"/>
              <w:ind w:left="315" w:leftChars="1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上海市工程建设质量管理协会办公室</w:t>
            </w:r>
          </w:p>
        </w:tc>
        <w:tc>
          <w:tcPr>
            <w:tcW w:w="4436" w:type="dxa"/>
            <w:tcBorders>
              <w:top w:val="single" w:color="auto" w:sz="6" w:space="0"/>
              <w:bottom w:val="single" w:color="auto" w:sz="8" w:space="0"/>
            </w:tcBorders>
            <w:noWrap w:val="0"/>
            <w:vAlign w:val="center"/>
          </w:tcPr>
          <w:p w14:paraId="1DB85F0A">
            <w:pPr>
              <w:keepNext w:val="0"/>
              <w:keepLines w:val="0"/>
              <w:pageBreakBefore w:val="0"/>
              <w:widowControl w:val="0"/>
              <w:kinsoku/>
              <w:wordWrap/>
              <w:overflowPunct w:val="0"/>
              <w:topLinePunct/>
              <w:autoSpaceDE/>
              <w:autoSpaceDN/>
              <w:bidi w:val="0"/>
              <w:snapToGrid/>
              <w:spacing w:line="240" w:lineRule="auto"/>
              <w:ind w:right="315" w:rightChars="100"/>
              <w:jc w:val="right"/>
              <w:textAlignment w:val="auto"/>
              <w:outlineLvl w:val="9"/>
              <w:rPr>
                <w:rFonts w:hint="eastAsia" w:ascii="仿宋" w:hAnsi="仿宋" w:eastAsia="仿宋" w:cs="仿宋"/>
                <w:sz w:val="24"/>
                <w:szCs w:val="24"/>
              </w:rPr>
            </w:pPr>
            <w:r>
              <w:rPr>
                <w:rFonts w:hint="default" w:ascii="Times New Roman" w:hAnsi="Times New Roman" w:eastAsia="仿宋" w:cs="Times New Roman"/>
                <w:sz w:val="24"/>
                <w:szCs w:val="24"/>
              </w:rPr>
              <w:t>20</w:t>
            </w:r>
            <w:r>
              <w:rPr>
                <w:rFonts w:hint="default" w:ascii="Times New Roman" w:hAnsi="Times New Roman" w:eastAsia="仿宋" w:cs="Times New Roman"/>
                <w:sz w:val="24"/>
                <w:szCs w:val="24"/>
                <w:lang w:val="en-US" w:eastAsia="zh-CN"/>
              </w:rPr>
              <w:t>25</w:t>
            </w:r>
            <w:r>
              <w:rPr>
                <w:rFonts w:hint="eastAsia" w:ascii="仿宋" w:hAnsi="仿宋" w:eastAsia="仿宋" w:cs="仿宋"/>
                <w:sz w:val="24"/>
                <w:szCs w:val="24"/>
              </w:rPr>
              <w:t>年</w:t>
            </w:r>
            <w:r>
              <w:rPr>
                <w:rFonts w:hint="default" w:ascii="Times New Roman" w:hAnsi="Times New Roman" w:eastAsia="仿宋" w:cs="Times New Roman"/>
                <w:sz w:val="24"/>
                <w:szCs w:val="24"/>
                <w:lang w:val="en-US" w:eastAsia="zh-CN"/>
              </w:rPr>
              <w:t>3</w:t>
            </w:r>
            <w:r>
              <w:rPr>
                <w:rFonts w:hint="eastAsia" w:ascii="仿宋" w:hAnsi="仿宋" w:eastAsia="仿宋" w:cs="仿宋"/>
                <w:sz w:val="24"/>
                <w:szCs w:val="24"/>
              </w:rPr>
              <w:t>月</w:t>
            </w:r>
            <w:r>
              <w:rPr>
                <w:rFonts w:hint="eastAsia" w:eastAsia="仿宋" w:cs="Times New Roman"/>
                <w:sz w:val="24"/>
                <w:szCs w:val="24"/>
                <w:lang w:val="en-US" w:eastAsia="zh-CN"/>
              </w:rPr>
              <w:t>3</w:t>
            </w:r>
            <w:r>
              <w:rPr>
                <w:rFonts w:hint="eastAsia" w:ascii="仿宋" w:hAnsi="仿宋" w:eastAsia="仿宋" w:cs="仿宋"/>
                <w:sz w:val="24"/>
                <w:szCs w:val="24"/>
              </w:rPr>
              <w:t>日印发</w:t>
            </w:r>
          </w:p>
        </w:tc>
      </w:tr>
      <w:tr w14:paraId="4B7FA515">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119" w:hRule="exact"/>
          <w:jc w:val="center"/>
        </w:trPr>
        <w:tc>
          <w:tcPr>
            <w:tcW w:w="4408" w:type="dxa"/>
            <w:tcBorders>
              <w:top w:val="single" w:color="auto" w:sz="8" w:space="0"/>
              <w:bottom w:val="nil"/>
            </w:tcBorders>
            <w:noWrap w:val="0"/>
            <w:vAlign w:val="top"/>
          </w:tcPr>
          <w:p w14:paraId="39A1FA85">
            <w:pPr>
              <w:keepNext w:val="0"/>
              <w:keepLines w:val="0"/>
              <w:pageBreakBefore w:val="0"/>
              <w:widowControl w:val="0"/>
              <w:kinsoku/>
              <w:wordWrap/>
              <w:overflowPunct w:val="0"/>
              <w:topLinePunct/>
              <w:autoSpaceDE/>
              <w:autoSpaceDN/>
              <w:bidi w:val="0"/>
              <w:snapToGrid/>
              <w:spacing w:line="240" w:lineRule="auto"/>
              <w:jc w:val="left"/>
              <w:textAlignment w:val="auto"/>
              <w:outlineLvl w:val="9"/>
              <w:rPr>
                <w:rFonts w:hint="eastAsia" w:ascii="仿宋" w:hAnsi="仿宋" w:eastAsia="仿宋" w:cs="仿宋"/>
                <w:sz w:val="28"/>
                <w:szCs w:val="28"/>
              </w:rPr>
            </w:pPr>
          </w:p>
        </w:tc>
        <w:tc>
          <w:tcPr>
            <w:tcW w:w="4436" w:type="dxa"/>
            <w:tcBorders>
              <w:top w:val="single" w:color="auto" w:sz="8" w:space="0"/>
              <w:bottom w:val="nil"/>
            </w:tcBorders>
            <w:noWrap w:val="0"/>
            <w:vAlign w:val="top"/>
          </w:tcPr>
          <w:p w14:paraId="19600CF1">
            <w:pPr>
              <w:keepNext w:val="0"/>
              <w:keepLines w:val="0"/>
              <w:pageBreakBefore w:val="0"/>
              <w:widowControl w:val="0"/>
              <w:kinsoku/>
              <w:wordWrap/>
              <w:overflowPunct w:val="0"/>
              <w:topLinePunct/>
              <w:autoSpaceDE/>
              <w:autoSpaceDN/>
              <w:bidi w:val="0"/>
              <w:snapToGrid/>
              <w:spacing w:line="240" w:lineRule="auto"/>
              <w:ind w:right="315" w:rightChars="100"/>
              <w:jc w:val="right"/>
              <w:textAlignment w:val="auto"/>
              <w:outlineLvl w:val="9"/>
              <w:rPr>
                <w:rFonts w:hint="eastAsia" w:ascii="仿宋" w:hAnsi="仿宋" w:eastAsia="仿宋" w:cs="仿宋"/>
                <w:szCs w:val="32"/>
              </w:rPr>
            </w:pPr>
          </w:p>
          <w:p w14:paraId="0A5B1A8B">
            <w:pPr>
              <w:keepNext w:val="0"/>
              <w:keepLines w:val="0"/>
              <w:pageBreakBefore w:val="0"/>
              <w:widowControl w:val="0"/>
              <w:kinsoku/>
              <w:wordWrap/>
              <w:overflowPunct w:val="0"/>
              <w:topLinePunct/>
              <w:autoSpaceDE/>
              <w:autoSpaceDN/>
              <w:bidi w:val="0"/>
              <w:snapToGrid/>
              <w:spacing w:line="240" w:lineRule="auto"/>
              <w:ind w:right="315" w:rightChars="100"/>
              <w:jc w:val="right"/>
              <w:textAlignment w:val="auto"/>
              <w:outlineLvl w:val="9"/>
              <w:rPr>
                <w:rFonts w:hint="eastAsia" w:ascii="仿宋" w:hAnsi="仿宋" w:eastAsia="仿宋" w:cs="仿宋"/>
                <w:sz w:val="28"/>
                <w:szCs w:val="28"/>
              </w:rPr>
            </w:pPr>
          </w:p>
        </w:tc>
      </w:tr>
    </w:tbl>
    <w:p w14:paraId="10E9C7FB">
      <w:pPr>
        <w:pStyle w:val="19"/>
        <w:widowControl/>
        <w:shd w:val="clear" w:color="auto" w:fill="FFFFFF"/>
        <w:spacing w:before="0" w:beforeAutospacing="0" w:after="0" w:afterAutospacing="0" w:line="240" w:lineRule="auto"/>
        <w:ind w:firstLine="0" w:firstLineChars="0"/>
        <w:jc w:val="both"/>
        <w:rPr>
          <w:rFonts w:hint="default" w:ascii="黑体" w:hAnsi="黑体" w:eastAsia="黑体" w:cs="黑体"/>
          <w:b w:val="0"/>
          <w:bCs w:val="0"/>
          <w:color w:val="252525"/>
          <w:sz w:val="24"/>
          <w:szCs w:val="24"/>
          <w:shd w:val="clear" w:color="auto" w:fill="FFFFFF"/>
          <w:lang w:val="en-US" w:eastAsia="zh-CN"/>
        </w:rPr>
      </w:pPr>
      <w:r>
        <w:rPr>
          <w:rFonts w:hint="eastAsia" w:ascii="黑体" w:hAnsi="黑体" w:eastAsia="黑体" w:cs="黑体"/>
          <w:b w:val="0"/>
          <w:bCs w:val="0"/>
          <w:color w:val="252525"/>
          <w:sz w:val="24"/>
          <w:szCs w:val="24"/>
          <w:shd w:val="clear" w:color="auto" w:fill="FFFFFF"/>
          <w:lang w:val="en-US" w:eastAsia="zh-CN"/>
        </w:rPr>
        <w:t>附件：</w:t>
      </w:r>
    </w:p>
    <w:p w14:paraId="1CC13A63">
      <w:pPr>
        <w:pStyle w:val="19"/>
        <w:widowControl/>
        <w:shd w:val="clear" w:color="auto" w:fill="FFFFFF"/>
        <w:spacing w:before="0" w:beforeAutospacing="0" w:after="0" w:afterAutospacing="0" w:line="480" w:lineRule="atLeast"/>
        <w:ind w:firstLine="0" w:firstLineChars="0"/>
        <w:jc w:val="center"/>
        <w:rPr>
          <w:rFonts w:hint="eastAsia" w:ascii="黑体" w:hAnsi="黑体" w:eastAsia="黑体" w:cs="黑体"/>
          <w:b/>
          <w:bCs/>
          <w:color w:val="252525"/>
          <w:sz w:val="48"/>
          <w:szCs w:val="48"/>
          <w:shd w:val="clear" w:color="auto" w:fill="FFFFFF"/>
          <w:lang w:val="en-US" w:eastAsia="zh-CN"/>
        </w:rPr>
      </w:pPr>
      <w:r>
        <w:rPr>
          <w:rFonts w:hint="eastAsia" w:ascii="黑体" w:hAnsi="黑体" w:eastAsia="黑体" w:cs="黑体"/>
          <w:b/>
          <w:bCs/>
          <w:color w:val="252525"/>
          <w:sz w:val="48"/>
          <w:szCs w:val="48"/>
          <w:shd w:val="clear" w:color="auto" w:fill="FFFFFF"/>
          <w:lang w:val="en-US" w:eastAsia="zh-CN"/>
        </w:rPr>
        <w:t>上海市工程建设质量管理协会</w:t>
      </w:r>
    </w:p>
    <w:p w14:paraId="1A58F80D">
      <w:pPr>
        <w:pStyle w:val="19"/>
        <w:widowControl/>
        <w:shd w:val="clear" w:color="auto" w:fill="FFFFFF"/>
        <w:spacing w:before="0" w:beforeAutospacing="0" w:after="0" w:afterAutospacing="0" w:line="480" w:lineRule="atLeast"/>
        <w:ind w:firstLine="0" w:firstLineChars="0"/>
        <w:jc w:val="center"/>
        <w:rPr>
          <w:rFonts w:hint="default" w:ascii="黑体" w:hAnsi="黑体" w:eastAsia="黑体" w:cs="黑体"/>
          <w:b/>
          <w:bCs/>
          <w:color w:val="252525"/>
          <w:sz w:val="44"/>
          <w:szCs w:val="44"/>
          <w:shd w:val="clear" w:color="auto" w:fill="FFFFFF"/>
          <w:lang w:val="en-US" w:eastAsia="zh-CN"/>
        </w:rPr>
      </w:pPr>
      <w:r>
        <w:rPr>
          <w:rFonts w:hint="eastAsia" w:ascii="黑体" w:hAnsi="黑体" w:eastAsia="黑体" w:cs="黑体"/>
          <w:b/>
          <w:bCs/>
          <w:color w:val="252525"/>
          <w:sz w:val="44"/>
          <w:szCs w:val="44"/>
          <w:shd w:val="clear" w:color="auto" w:fill="FFFFFF"/>
          <w:lang w:val="en-US" w:eastAsia="zh-CN"/>
        </w:rPr>
        <w:t>预制构件专业委员会</w:t>
      </w:r>
    </w:p>
    <w:tbl>
      <w:tblPr>
        <w:tblStyle w:val="21"/>
        <w:tblpPr w:leftFromText="180" w:rightFromText="180" w:vertAnchor="text" w:horzAnchor="page" w:tblpX="1404" w:tblpY="620"/>
        <w:tblOverlap w:val="never"/>
        <w:tblW w:w="8990" w:type="dxa"/>
        <w:tblInd w:w="0" w:type="dxa"/>
        <w:tblLayout w:type="fixed"/>
        <w:tblCellMar>
          <w:top w:w="0" w:type="dxa"/>
          <w:left w:w="0" w:type="dxa"/>
          <w:bottom w:w="0" w:type="dxa"/>
          <w:right w:w="0" w:type="dxa"/>
        </w:tblCellMar>
      </w:tblPr>
      <w:tblGrid>
        <w:gridCol w:w="667"/>
        <w:gridCol w:w="6970"/>
        <w:gridCol w:w="1353"/>
      </w:tblGrid>
      <w:tr w14:paraId="3D994FB6">
        <w:tblPrEx>
          <w:tblCellMar>
            <w:top w:w="0" w:type="dxa"/>
            <w:left w:w="0" w:type="dxa"/>
            <w:bottom w:w="0" w:type="dxa"/>
            <w:right w:w="0" w:type="dxa"/>
          </w:tblCellMar>
        </w:tblPrEx>
        <w:trPr>
          <w:trHeight w:val="492" w:hRule="exact"/>
        </w:trPr>
        <w:tc>
          <w:tcPr>
            <w:tcW w:w="8990" w:type="dxa"/>
            <w:gridSpan w:val="3"/>
            <w:tcBorders>
              <w:top w:val="nil"/>
              <w:left w:val="nil"/>
              <w:bottom w:val="nil"/>
              <w:right w:val="nil"/>
            </w:tcBorders>
            <w:tcMar>
              <w:top w:w="15" w:type="dxa"/>
              <w:left w:w="15" w:type="dxa"/>
              <w:right w:w="15" w:type="dxa"/>
            </w:tcMar>
            <w:vAlign w:val="center"/>
          </w:tcPr>
          <w:p w14:paraId="35C62A65">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黑体" w:hAnsi="黑体" w:eastAsia="黑体" w:cs="黑体"/>
                <w:b/>
                <w:i w:val="0"/>
                <w:color w:val="000000"/>
                <w:kern w:val="0"/>
                <w:sz w:val="32"/>
                <w:szCs w:val="32"/>
                <w:u w:val="none"/>
                <w:lang w:val="en-US" w:eastAsia="zh-CN" w:bidi="ar"/>
              </w:rPr>
              <w:t>房建类装配式预制构件企业诚信及质量管理能力等级评价：</w:t>
            </w:r>
          </w:p>
        </w:tc>
      </w:tr>
      <w:tr w14:paraId="7802188F">
        <w:tblPrEx>
          <w:tblCellMar>
            <w:top w:w="0" w:type="dxa"/>
            <w:left w:w="0" w:type="dxa"/>
            <w:bottom w:w="0" w:type="dxa"/>
            <w:right w:w="0" w:type="dxa"/>
          </w:tblCellMar>
        </w:tblPrEx>
        <w:trPr>
          <w:trHeight w:val="492" w:hRule="exact"/>
        </w:trPr>
        <w:tc>
          <w:tcPr>
            <w:tcW w:w="8990" w:type="dxa"/>
            <w:gridSpan w:val="3"/>
            <w:tcBorders>
              <w:top w:val="nil"/>
              <w:left w:val="nil"/>
              <w:bottom w:val="nil"/>
              <w:right w:val="nil"/>
            </w:tcBorders>
            <w:tcMar>
              <w:top w:w="15" w:type="dxa"/>
              <w:left w:w="15" w:type="dxa"/>
              <w:right w:w="15" w:type="dxa"/>
            </w:tcMar>
            <w:vAlign w:val="center"/>
          </w:tcPr>
          <w:p w14:paraId="523A810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评级评价标准（总评分合计</w:t>
            </w:r>
            <w:r>
              <w:rPr>
                <w:rFonts w:hint="eastAsia" w:ascii="宋体" w:hAnsi="宋体" w:cs="宋体"/>
                <w:i w:val="0"/>
                <w:color w:val="000000"/>
                <w:kern w:val="0"/>
                <w:sz w:val="24"/>
                <w:szCs w:val="24"/>
                <w:u w:val="none"/>
                <w:lang w:val="en-US" w:eastAsia="zh-CN" w:bidi="ar"/>
              </w:rPr>
              <w:t>500</w:t>
            </w:r>
            <w:r>
              <w:rPr>
                <w:rFonts w:hint="eastAsia" w:ascii="宋体" w:hAnsi="宋体" w:eastAsia="宋体" w:cs="宋体"/>
                <w:i w:val="0"/>
                <w:color w:val="000000"/>
                <w:kern w:val="0"/>
                <w:sz w:val="24"/>
                <w:szCs w:val="24"/>
                <w:u w:val="none"/>
                <w:lang w:val="en-US" w:eastAsia="zh-CN" w:bidi="ar"/>
              </w:rPr>
              <w:t xml:space="preserve">分）：A级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2</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家</w:t>
            </w:r>
          </w:p>
        </w:tc>
      </w:tr>
      <w:tr w14:paraId="0011BD8E">
        <w:tblPrEx>
          <w:tblCellMar>
            <w:top w:w="0" w:type="dxa"/>
            <w:left w:w="0" w:type="dxa"/>
            <w:bottom w:w="0" w:type="dxa"/>
            <w:right w:w="0" w:type="dxa"/>
          </w:tblCellMar>
        </w:tblPrEx>
        <w:trPr>
          <w:trHeight w:val="471" w:hRule="exact"/>
        </w:trPr>
        <w:tc>
          <w:tcPr>
            <w:tcW w:w="8990" w:type="dxa"/>
            <w:gridSpan w:val="3"/>
            <w:tcBorders>
              <w:top w:val="nil"/>
              <w:left w:val="nil"/>
              <w:bottom w:val="nil"/>
              <w:right w:val="nil"/>
            </w:tcBorders>
            <w:tcMar>
              <w:top w:w="15" w:type="dxa"/>
              <w:left w:w="15" w:type="dxa"/>
              <w:right w:w="15" w:type="dxa"/>
            </w:tcMar>
            <w:vAlign w:val="center"/>
          </w:tcPr>
          <w:p w14:paraId="62B387FA">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B级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53</w:t>
            </w:r>
            <w:r>
              <w:rPr>
                <w:rFonts w:hint="eastAsia" w:ascii="宋体" w:hAnsi="宋体" w:eastAsia="宋体" w:cs="宋体"/>
                <w:i w:val="0"/>
                <w:color w:val="000000"/>
                <w:kern w:val="0"/>
                <w:sz w:val="24"/>
                <w:szCs w:val="24"/>
                <w:u w:val="none"/>
                <w:lang w:val="en-US" w:eastAsia="zh-CN" w:bidi="ar"/>
              </w:rPr>
              <w:t>家</w:t>
            </w:r>
          </w:p>
        </w:tc>
      </w:tr>
      <w:tr w14:paraId="4854C02D">
        <w:tblPrEx>
          <w:tblCellMar>
            <w:top w:w="0" w:type="dxa"/>
            <w:left w:w="0" w:type="dxa"/>
            <w:bottom w:w="0" w:type="dxa"/>
            <w:right w:w="0" w:type="dxa"/>
          </w:tblCellMar>
        </w:tblPrEx>
        <w:trPr>
          <w:trHeight w:val="472" w:hRule="exact"/>
        </w:trPr>
        <w:tc>
          <w:tcPr>
            <w:tcW w:w="8990" w:type="dxa"/>
            <w:gridSpan w:val="3"/>
            <w:tcBorders>
              <w:top w:val="nil"/>
              <w:left w:val="nil"/>
              <w:bottom w:val="nil"/>
              <w:right w:val="nil"/>
            </w:tcBorders>
            <w:tcMar>
              <w:top w:w="15" w:type="dxa"/>
              <w:left w:w="15" w:type="dxa"/>
              <w:right w:w="15" w:type="dxa"/>
            </w:tcMar>
            <w:vAlign w:val="center"/>
          </w:tcPr>
          <w:p w14:paraId="6C7294C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C级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家</w:t>
            </w:r>
          </w:p>
        </w:tc>
      </w:tr>
      <w:tr w14:paraId="3D82FE8B">
        <w:tblPrEx>
          <w:tblCellMar>
            <w:top w:w="0" w:type="dxa"/>
            <w:left w:w="0" w:type="dxa"/>
            <w:bottom w:w="0" w:type="dxa"/>
            <w:right w:w="0" w:type="dxa"/>
          </w:tblCellMar>
        </w:tblPrEx>
        <w:trPr>
          <w:trHeight w:val="464" w:hRule="exact"/>
        </w:trPr>
        <w:tc>
          <w:tcPr>
            <w:tcW w:w="8990" w:type="dxa"/>
            <w:gridSpan w:val="3"/>
            <w:tcBorders>
              <w:top w:val="nil"/>
              <w:left w:val="nil"/>
              <w:bottom w:val="nil"/>
              <w:right w:val="nil"/>
            </w:tcBorders>
            <w:tcMar>
              <w:top w:w="15" w:type="dxa"/>
              <w:left w:w="15" w:type="dxa"/>
              <w:right w:w="15" w:type="dxa"/>
            </w:tcMar>
            <w:vAlign w:val="center"/>
          </w:tcPr>
          <w:p w14:paraId="514ED9EE">
            <w:pPr>
              <w:keepNext w:val="0"/>
              <w:keepLines w:val="0"/>
              <w:widowControl/>
              <w:suppressLineNumbers w:val="0"/>
              <w:jc w:val="both"/>
              <w:textAlignment w:val="center"/>
              <w:rPr>
                <w:rFonts w:hint="default" w:ascii="宋体" w:hAnsi="宋体" w:eastAsia="宋体" w:cs="宋体"/>
                <w:b/>
                <w:i w:val="0"/>
                <w:color w:val="000000"/>
                <w:sz w:val="24"/>
                <w:szCs w:val="24"/>
                <w:u w:val="none"/>
                <w:lang w:val="en-US" w:eastAsia="zh-CN"/>
              </w:rPr>
            </w:pPr>
            <w:r>
              <w:rPr>
                <w:rFonts w:hint="eastAsia" w:ascii="宋体" w:hAnsi="宋体" w:cs="宋体"/>
                <w:i w:val="0"/>
                <w:color w:val="000000"/>
                <w:kern w:val="0"/>
                <w:sz w:val="24"/>
                <w:szCs w:val="24"/>
                <w:u w:val="none"/>
                <w:lang w:val="en-US" w:eastAsia="zh-CN" w:bidi="ar"/>
              </w:rPr>
              <w:t xml:space="preserve">注： </w:t>
            </w:r>
            <w:r>
              <w:rPr>
                <w:rFonts w:hint="eastAsia" w:ascii="宋体" w:hAnsi="宋体" w:eastAsia="宋体" w:cs="宋体"/>
                <w:i w:val="0"/>
                <w:color w:val="000000"/>
                <w:kern w:val="0"/>
                <w:sz w:val="24"/>
                <w:szCs w:val="24"/>
                <w:u w:val="none"/>
                <w:lang w:val="en-US" w:eastAsia="zh-CN" w:bidi="ar"/>
              </w:rPr>
              <w:t>本年度</w:t>
            </w:r>
            <w:r>
              <w:rPr>
                <w:rFonts w:hint="eastAsia" w:ascii="宋体" w:hAnsi="宋体" w:cs="宋体"/>
                <w:i w:val="0"/>
                <w:color w:val="000000"/>
                <w:kern w:val="0"/>
                <w:sz w:val="24"/>
                <w:szCs w:val="24"/>
                <w:u w:val="none"/>
                <w:lang w:val="en-US" w:eastAsia="zh-CN" w:bidi="ar"/>
              </w:rPr>
              <w:t>综合能力评定</w:t>
            </w:r>
            <w:r>
              <w:rPr>
                <w:rFonts w:hint="eastAsia" w:ascii="宋体" w:hAnsi="宋体" w:eastAsia="宋体" w:cs="宋体"/>
                <w:i w:val="0"/>
                <w:color w:val="000000"/>
                <w:kern w:val="0"/>
                <w:sz w:val="24"/>
                <w:szCs w:val="24"/>
                <w:u w:val="none"/>
                <w:lang w:val="en-US" w:eastAsia="zh-CN" w:bidi="ar"/>
              </w:rPr>
              <w:t>范围为自愿参</w:t>
            </w:r>
            <w:r>
              <w:rPr>
                <w:rFonts w:hint="eastAsia" w:ascii="宋体" w:hAnsi="宋体" w:cs="宋体"/>
                <w:i w:val="0"/>
                <w:color w:val="000000"/>
                <w:kern w:val="0"/>
                <w:sz w:val="24"/>
                <w:szCs w:val="24"/>
                <w:u w:val="none"/>
                <w:lang w:val="en-US" w:eastAsia="zh-CN" w:bidi="ar"/>
              </w:rPr>
              <w:t>评</w:t>
            </w:r>
            <w:r>
              <w:rPr>
                <w:rFonts w:hint="eastAsia" w:ascii="宋体" w:hAnsi="宋体" w:eastAsia="宋体" w:cs="宋体"/>
                <w:i w:val="0"/>
                <w:color w:val="000000"/>
                <w:kern w:val="0"/>
                <w:sz w:val="24"/>
                <w:szCs w:val="24"/>
                <w:u w:val="none"/>
                <w:lang w:val="en-US" w:eastAsia="zh-CN" w:bidi="ar"/>
              </w:rPr>
              <w:t>级</w:t>
            </w:r>
            <w:r>
              <w:rPr>
                <w:rFonts w:hint="eastAsia" w:ascii="宋体" w:hAnsi="宋体" w:cs="宋体"/>
                <w:i w:val="0"/>
                <w:color w:val="000000"/>
                <w:kern w:val="0"/>
                <w:sz w:val="24"/>
                <w:szCs w:val="24"/>
                <w:u w:val="none"/>
                <w:lang w:val="en-US" w:eastAsia="zh-CN" w:bidi="ar"/>
              </w:rPr>
              <w:t>、且满足各项参评条件的构件生产</w:t>
            </w:r>
            <w:r>
              <w:rPr>
                <w:rFonts w:hint="eastAsia" w:ascii="宋体" w:hAnsi="宋体" w:eastAsia="宋体" w:cs="宋体"/>
                <w:i w:val="0"/>
                <w:color w:val="000000"/>
                <w:kern w:val="0"/>
                <w:sz w:val="24"/>
                <w:szCs w:val="24"/>
                <w:u w:val="none"/>
                <w:lang w:val="en-US" w:eastAsia="zh-CN" w:bidi="ar"/>
              </w:rPr>
              <w:t>企业</w:t>
            </w:r>
            <w:r>
              <w:rPr>
                <w:rFonts w:hint="eastAsia" w:ascii="宋体" w:hAnsi="宋体" w:cs="宋体"/>
                <w:i w:val="0"/>
                <w:color w:val="000000"/>
                <w:kern w:val="0"/>
                <w:sz w:val="24"/>
                <w:szCs w:val="24"/>
                <w:u w:val="none"/>
                <w:lang w:val="en-US" w:eastAsia="zh-CN" w:bidi="ar"/>
              </w:rPr>
              <w:t>，</w:t>
            </w:r>
          </w:p>
        </w:tc>
      </w:tr>
      <w:tr w14:paraId="2457E4F9">
        <w:tblPrEx>
          <w:tblCellMar>
            <w:top w:w="0" w:type="dxa"/>
            <w:left w:w="0" w:type="dxa"/>
            <w:bottom w:w="0" w:type="dxa"/>
            <w:right w:w="0" w:type="dxa"/>
          </w:tblCellMar>
        </w:tblPrEx>
        <w:trPr>
          <w:trHeight w:val="512" w:hRule="exact"/>
        </w:trPr>
        <w:tc>
          <w:tcPr>
            <w:tcW w:w="8990" w:type="dxa"/>
            <w:gridSpan w:val="3"/>
            <w:tcBorders>
              <w:top w:val="nil"/>
              <w:left w:val="nil"/>
              <w:bottom w:val="nil"/>
              <w:right w:val="nil"/>
            </w:tcBorders>
            <w:tcMar>
              <w:top w:w="15" w:type="dxa"/>
              <w:left w:w="15" w:type="dxa"/>
              <w:right w:w="15" w:type="dxa"/>
            </w:tcMar>
            <w:vAlign w:val="center"/>
          </w:tcPr>
          <w:p w14:paraId="791EDA40">
            <w:pPr>
              <w:keepNext w:val="0"/>
              <w:keepLines w:val="0"/>
              <w:widowControl/>
              <w:suppressLineNumbers w:val="0"/>
              <w:jc w:val="both"/>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未能满足评价条件的企业不在本名单公示。</w:t>
            </w:r>
          </w:p>
        </w:tc>
      </w:tr>
      <w:tr w14:paraId="4EA25FFF">
        <w:tblPrEx>
          <w:tblCellMar>
            <w:top w:w="0" w:type="dxa"/>
            <w:left w:w="0" w:type="dxa"/>
            <w:bottom w:w="0" w:type="dxa"/>
            <w:right w:w="0" w:type="dxa"/>
          </w:tblCellMar>
        </w:tblPrEx>
        <w:trPr>
          <w:trHeight w:val="650" w:hRule="exact"/>
        </w:trPr>
        <w:tc>
          <w:tcPr>
            <w:tcW w:w="8990" w:type="dxa"/>
            <w:gridSpan w:val="3"/>
            <w:tcBorders>
              <w:top w:val="nil"/>
              <w:left w:val="nil"/>
              <w:bottom w:val="single" w:color="000000" w:sz="6" w:space="0"/>
              <w:right w:val="nil"/>
            </w:tcBorders>
            <w:tcMar>
              <w:top w:w="15" w:type="dxa"/>
              <w:left w:w="15" w:type="dxa"/>
              <w:right w:w="15" w:type="dxa"/>
            </w:tcMar>
            <w:vAlign w:val="center"/>
          </w:tcPr>
          <w:p w14:paraId="62B1733F">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黑体" w:hAnsi="黑体" w:eastAsia="黑体" w:cs="黑体"/>
                <w:b/>
                <w:i w:val="0"/>
                <w:color w:val="000000"/>
                <w:kern w:val="0"/>
                <w:sz w:val="32"/>
                <w:szCs w:val="32"/>
                <w:u w:val="none"/>
                <w:lang w:val="en-US" w:eastAsia="zh-CN" w:bidi="ar"/>
              </w:rPr>
              <w:t>2024年度A级企业</w:t>
            </w:r>
          </w:p>
        </w:tc>
      </w:tr>
      <w:tr w14:paraId="7F0F604C">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0354865B">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序号</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2CBFC7C8">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企业名称</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1310FC64">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等级</w:t>
            </w:r>
          </w:p>
        </w:tc>
      </w:tr>
      <w:tr w14:paraId="676BBFE8">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7C52FD0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51B3F3A4">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锦萧新材料科技（浙江）股份有限公司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6F1D46D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13D90E29">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4FCA9C9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78159270">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上海建工建材科技集团股份有限公司第一构件厂</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36A4D9D3">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5A3864C7">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4F49B96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30A3DDFB">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上海良浦住宅工业有限公司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1BBA6ED7">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659028DE">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6D1BF412">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0F18B6A9">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启东市筑城装配式建筑有限公司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1D8AB9B5">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63E1029A">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2D15935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5A098EA5">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苏州嘉盛万城建筑工业有限公司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62A3F19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69266B79">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61690B4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713E9C79">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浙江三一筑工科技有限公司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298ACB92">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09FEEE4F">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726696A7">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782D46B4">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绿明贝恒建筑科技（南通）有限公司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14E44295">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4E68B99D">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3D9C9178">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1A0B407E">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上海汉石昀升住宅工业发展有限公司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3EFD616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2317FBD1">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1CF4DC53">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9</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23EF2DF2">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平湖万家兴建筑工业有限公司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57FDF674">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A</w:t>
            </w:r>
          </w:p>
        </w:tc>
      </w:tr>
      <w:tr w14:paraId="0E8E513E">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3E7768E9">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10</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4C05BF6B">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浙江永坚新材料科技股份有限公司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23E44611">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3CD57652">
        <w:tblPrEx>
          <w:tblCellMar>
            <w:top w:w="0" w:type="dxa"/>
            <w:left w:w="0" w:type="dxa"/>
            <w:bottom w:w="0" w:type="dxa"/>
            <w:right w:w="0" w:type="dxa"/>
          </w:tblCellMar>
        </w:tblPrEx>
        <w:trPr>
          <w:trHeight w:val="567" w:hRule="exact"/>
        </w:trPr>
        <w:tc>
          <w:tcPr>
            <w:tcW w:w="667" w:type="dxa"/>
            <w:tcBorders>
              <w:top w:val="single" w:color="000000" w:sz="6" w:space="0"/>
              <w:left w:val="single" w:color="000000" w:sz="4" w:space="0"/>
              <w:bottom w:val="single" w:color="000000" w:sz="4" w:space="0"/>
              <w:right w:val="single" w:color="000000" w:sz="4" w:space="0"/>
            </w:tcBorders>
            <w:tcMar>
              <w:top w:w="15" w:type="dxa"/>
              <w:left w:w="15" w:type="dxa"/>
              <w:right w:w="15" w:type="dxa"/>
            </w:tcMar>
            <w:vAlign w:val="center"/>
          </w:tcPr>
          <w:p w14:paraId="4B61F07A">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11</w:t>
            </w:r>
          </w:p>
        </w:tc>
        <w:tc>
          <w:tcPr>
            <w:tcW w:w="6970" w:type="dxa"/>
            <w:tcBorders>
              <w:top w:val="single" w:color="000000" w:sz="6" w:space="0"/>
              <w:left w:val="single" w:color="000000" w:sz="4" w:space="0"/>
              <w:bottom w:val="single" w:color="000000" w:sz="4" w:space="0"/>
              <w:right w:val="single" w:color="000000" w:sz="4" w:space="0"/>
            </w:tcBorders>
            <w:tcMar>
              <w:top w:w="15" w:type="dxa"/>
              <w:left w:w="15" w:type="dxa"/>
              <w:right w:w="15" w:type="dxa"/>
            </w:tcMar>
            <w:vAlign w:val="bottom"/>
          </w:tcPr>
          <w:p w14:paraId="01E0C020">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浙江中天建筑产业化有限公司</w:t>
            </w:r>
          </w:p>
        </w:tc>
        <w:tc>
          <w:tcPr>
            <w:tcW w:w="1353" w:type="dxa"/>
            <w:tcBorders>
              <w:top w:val="single" w:color="000000" w:sz="6" w:space="0"/>
              <w:left w:val="single" w:color="000000" w:sz="4" w:space="0"/>
              <w:bottom w:val="single" w:color="000000" w:sz="4" w:space="0"/>
              <w:right w:val="single" w:color="000000" w:sz="4" w:space="0"/>
            </w:tcBorders>
            <w:tcMar>
              <w:top w:w="15" w:type="dxa"/>
              <w:left w:w="15" w:type="dxa"/>
              <w:right w:w="15" w:type="dxa"/>
            </w:tcMar>
            <w:vAlign w:val="center"/>
          </w:tcPr>
          <w:p w14:paraId="21EB9D4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2103A7F6">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DCC6D">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12</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5606A1E">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张家港市永茂住宅工业有限公司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7D75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0673A23C">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449CA">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13</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39D0780">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南通际铨建筑科技有限公司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EB1E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1FE1B46D">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A96DC">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14</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CFE7EBE">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远大住宅工业（上海）有限公司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2C98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07BC7C8F">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BA4DA">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15</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FC3038E">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江苏德丰建设集团建筑科技有限公司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F9FA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7BDB5A10">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3D093">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16</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8B8324A">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南通现代建筑产业发展有限公司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FE897">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A</w:t>
            </w:r>
          </w:p>
        </w:tc>
      </w:tr>
      <w:tr w14:paraId="40CB449F">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E0F1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E7704CE">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上海宝岳住宅工业有限公司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51C8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522ADE4A">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E0E6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53910A2">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上海弘昊建材有限公司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A8FD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3F283B6E">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4D05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090DA69">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上海宇辉住宅工业有限公司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F43A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342B8BD6">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2F074">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5380B09">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上海城建建设实业集团新型建筑材料嘉兴有限公司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A159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0868A743">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5F22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564ADFA">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南通科达建材科技股份有限公司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05153">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754DC18B">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8BB117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w:t>
            </w:r>
          </w:p>
        </w:tc>
        <w:tc>
          <w:tcPr>
            <w:tcW w:w="69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14:paraId="4FCA7BF2">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上海住总工程材料有限公司临港分公司</w:t>
            </w:r>
          </w:p>
        </w:tc>
        <w:tc>
          <w:tcPr>
            <w:tcW w:w="135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E8E17F3">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A</w:t>
            </w:r>
          </w:p>
        </w:tc>
      </w:tr>
      <w:tr w14:paraId="36263050">
        <w:tblPrEx>
          <w:tblCellMar>
            <w:top w:w="0" w:type="dxa"/>
            <w:left w:w="0" w:type="dxa"/>
            <w:bottom w:w="0" w:type="dxa"/>
            <w:right w:w="0" w:type="dxa"/>
          </w:tblCellMar>
        </w:tblPrEx>
        <w:trPr>
          <w:trHeight w:val="567" w:hRule="exac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9AC912">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23</w:t>
            </w:r>
          </w:p>
        </w:tc>
        <w:tc>
          <w:tcPr>
            <w:tcW w:w="6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414B82E">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上海福铁龙住宅工业发展有限公司</w:t>
            </w:r>
          </w:p>
        </w:tc>
        <w:tc>
          <w:tcPr>
            <w:tcW w:w="1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B31B16">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A</w:t>
            </w:r>
          </w:p>
        </w:tc>
      </w:tr>
      <w:tr w14:paraId="1F0B21E5">
        <w:tblPrEx>
          <w:tblCellMar>
            <w:top w:w="0" w:type="dxa"/>
            <w:left w:w="0" w:type="dxa"/>
            <w:bottom w:w="0" w:type="dxa"/>
            <w:right w:w="0" w:type="dxa"/>
          </w:tblCellMar>
        </w:tblPrEx>
        <w:trPr>
          <w:trHeight w:val="567" w:hRule="exact"/>
        </w:trPr>
        <w:tc>
          <w:tcPr>
            <w:tcW w:w="667" w:type="dxa"/>
            <w:tcBorders>
              <w:top w:val="single" w:color="auto" w:sz="4" w:space="0"/>
              <w:left w:val="nil"/>
              <w:bottom w:val="nil"/>
              <w:right w:val="nil"/>
            </w:tcBorders>
            <w:tcMar>
              <w:top w:w="15" w:type="dxa"/>
              <w:left w:w="15" w:type="dxa"/>
              <w:right w:w="15" w:type="dxa"/>
            </w:tcMar>
            <w:vAlign w:val="center"/>
          </w:tcPr>
          <w:p w14:paraId="1E7D1FEA">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p>
        </w:tc>
        <w:tc>
          <w:tcPr>
            <w:tcW w:w="6970" w:type="dxa"/>
            <w:tcBorders>
              <w:top w:val="single" w:color="auto" w:sz="4" w:space="0"/>
              <w:left w:val="nil"/>
              <w:bottom w:val="nil"/>
              <w:right w:val="nil"/>
            </w:tcBorders>
            <w:tcMar>
              <w:top w:w="15" w:type="dxa"/>
              <w:left w:w="15" w:type="dxa"/>
              <w:right w:w="15" w:type="dxa"/>
            </w:tcMar>
            <w:vAlign w:val="center"/>
          </w:tcPr>
          <w:p w14:paraId="72D7F9A7">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p>
        </w:tc>
        <w:tc>
          <w:tcPr>
            <w:tcW w:w="1353" w:type="dxa"/>
            <w:tcBorders>
              <w:top w:val="single" w:color="auto" w:sz="4" w:space="0"/>
              <w:left w:val="nil"/>
              <w:bottom w:val="nil"/>
              <w:right w:val="nil"/>
            </w:tcBorders>
            <w:tcMar>
              <w:top w:w="15" w:type="dxa"/>
              <w:left w:w="15" w:type="dxa"/>
              <w:right w:w="15" w:type="dxa"/>
            </w:tcMar>
            <w:vAlign w:val="center"/>
          </w:tcPr>
          <w:p w14:paraId="35B40828">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14:paraId="43EDEC81">
        <w:tblPrEx>
          <w:tblCellMar>
            <w:top w:w="0" w:type="dxa"/>
            <w:left w:w="0" w:type="dxa"/>
            <w:bottom w:w="0" w:type="dxa"/>
            <w:right w:w="0" w:type="dxa"/>
          </w:tblCellMar>
        </w:tblPrEx>
        <w:trPr>
          <w:trHeight w:val="567" w:hRule="exact"/>
        </w:trPr>
        <w:tc>
          <w:tcPr>
            <w:tcW w:w="667" w:type="dxa"/>
            <w:tcBorders>
              <w:top w:val="nil"/>
              <w:left w:val="nil"/>
              <w:bottom w:val="nil"/>
              <w:right w:val="nil"/>
            </w:tcBorders>
            <w:tcMar>
              <w:top w:w="15" w:type="dxa"/>
              <w:left w:w="15" w:type="dxa"/>
              <w:right w:w="15" w:type="dxa"/>
            </w:tcMar>
            <w:vAlign w:val="center"/>
          </w:tcPr>
          <w:p w14:paraId="0E56710F">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p>
        </w:tc>
        <w:tc>
          <w:tcPr>
            <w:tcW w:w="6970" w:type="dxa"/>
            <w:tcBorders>
              <w:top w:val="nil"/>
              <w:left w:val="nil"/>
              <w:bottom w:val="nil"/>
              <w:right w:val="nil"/>
            </w:tcBorders>
            <w:tcMar>
              <w:top w:w="15" w:type="dxa"/>
              <w:left w:w="15" w:type="dxa"/>
              <w:right w:w="15" w:type="dxa"/>
            </w:tcMar>
            <w:vAlign w:val="center"/>
          </w:tcPr>
          <w:p w14:paraId="44CCB1C0">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p>
        </w:tc>
        <w:tc>
          <w:tcPr>
            <w:tcW w:w="1353" w:type="dxa"/>
            <w:tcBorders>
              <w:top w:val="nil"/>
              <w:left w:val="nil"/>
              <w:bottom w:val="nil"/>
              <w:right w:val="nil"/>
            </w:tcBorders>
            <w:tcMar>
              <w:top w:w="15" w:type="dxa"/>
              <w:left w:w="15" w:type="dxa"/>
              <w:right w:w="15" w:type="dxa"/>
            </w:tcMar>
            <w:vAlign w:val="center"/>
          </w:tcPr>
          <w:p w14:paraId="564AA81B">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14:paraId="635084F1">
        <w:tblPrEx>
          <w:tblCellMar>
            <w:top w:w="0" w:type="dxa"/>
            <w:left w:w="0" w:type="dxa"/>
            <w:bottom w:w="0" w:type="dxa"/>
            <w:right w:w="0" w:type="dxa"/>
          </w:tblCellMar>
        </w:tblPrEx>
        <w:trPr>
          <w:trHeight w:val="699" w:hRule="exact"/>
        </w:trPr>
        <w:tc>
          <w:tcPr>
            <w:tcW w:w="667" w:type="dxa"/>
            <w:tcBorders>
              <w:top w:val="nil"/>
              <w:left w:val="nil"/>
              <w:bottom w:val="single" w:color="000000" w:sz="6" w:space="0"/>
              <w:right w:val="nil"/>
            </w:tcBorders>
            <w:tcMar>
              <w:top w:w="15" w:type="dxa"/>
              <w:left w:w="15" w:type="dxa"/>
              <w:right w:w="15" w:type="dxa"/>
            </w:tcMar>
            <w:vAlign w:val="center"/>
          </w:tcPr>
          <w:p w14:paraId="73613E39">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c>
          <w:tcPr>
            <w:tcW w:w="6970" w:type="dxa"/>
            <w:tcBorders>
              <w:top w:val="nil"/>
              <w:left w:val="nil"/>
              <w:bottom w:val="single" w:color="000000" w:sz="6" w:space="0"/>
              <w:right w:val="nil"/>
            </w:tcBorders>
            <w:tcMar>
              <w:top w:w="15" w:type="dxa"/>
              <w:left w:w="15" w:type="dxa"/>
              <w:right w:w="15" w:type="dxa"/>
            </w:tcMar>
            <w:vAlign w:val="center"/>
          </w:tcPr>
          <w:p w14:paraId="02EE1F01">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黑体" w:hAnsi="黑体" w:eastAsia="黑体" w:cs="黑体"/>
                <w:b/>
                <w:i w:val="0"/>
                <w:color w:val="000000"/>
                <w:kern w:val="0"/>
                <w:sz w:val="32"/>
                <w:szCs w:val="32"/>
                <w:u w:val="none"/>
                <w:lang w:val="en-US" w:eastAsia="zh-CN" w:bidi="ar"/>
              </w:rPr>
              <w:t>2024年度B级企业</w:t>
            </w:r>
          </w:p>
        </w:tc>
        <w:tc>
          <w:tcPr>
            <w:tcW w:w="1353" w:type="dxa"/>
            <w:tcBorders>
              <w:top w:val="nil"/>
              <w:left w:val="nil"/>
              <w:bottom w:val="single" w:color="000000" w:sz="6" w:space="0"/>
              <w:right w:val="nil"/>
            </w:tcBorders>
            <w:tcMar>
              <w:top w:w="15" w:type="dxa"/>
              <w:left w:w="15" w:type="dxa"/>
              <w:right w:w="15" w:type="dxa"/>
            </w:tcMar>
            <w:vAlign w:val="center"/>
          </w:tcPr>
          <w:p w14:paraId="29EF3D73">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14:paraId="3D513582">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4BB791BB">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序号</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3433E438">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企业名称</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74F1FE56">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等级</w:t>
            </w:r>
          </w:p>
        </w:tc>
      </w:tr>
      <w:tr w14:paraId="3ED6E63E">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5FCCF82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50C2E4F3">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江苏千和装配式建筑科技股份公司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0F43CE9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20FA37E3">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4AD6AC3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5B526F4F">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南通市开源交通建设工程有限公司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2E478CA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2F49CC83">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74FB802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596B070B">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绍兴精工绿筑集成建筑系统工业有限公司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45F0145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6DDD2C28">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528D4FD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69A1B58D">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浙江筑工科技有限公司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2BA3B98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485C87F9">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7F32EFB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6E6FA879">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南通上建建筑构件制品有限公司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6AC6FE1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3E3DF0D1">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5B6FB84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25DD20DB">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苏州杰通建筑工业有限公司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7780D695">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7621D143">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344EF8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276B923D">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宋体" w:hAnsi="宋体" w:eastAsia="宋体" w:cs="宋体"/>
                <w:i w:val="0"/>
                <w:color w:val="FFFFFF"/>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江苏新昱住宅工业科技有限公司</w:t>
            </w:r>
          </w:p>
          <w:p w14:paraId="729C8EE3">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5C4EA303">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3B14FC53">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318F175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1A87A7D5">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上海建工常州建亚建筑构件制品有限公司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4A952BD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7C3BB3B9">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0C5E4CBC">
            <w:pPr>
              <w:keepNext w:val="0"/>
              <w:keepLines w:val="0"/>
              <w:widowControl/>
              <w:suppressLineNumbers w:val="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9</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5AF315EC">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上海石化安东混凝土有限公司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6870446D">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B</w:t>
            </w:r>
          </w:p>
        </w:tc>
      </w:tr>
      <w:tr w14:paraId="2251CF14">
        <w:tblPrEx>
          <w:tblCellMar>
            <w:top w:w="0" w:type="dxa"/>
            <w:left w:w="0" w:type="dxa"/>
            <w:bottom w:w="0" w:type="dxa"/>
            <w:right w:w="0" w:type="dxa"/>
          </w:tblCellMar>
        </w:tblPrEx>
        <w:trPr>
          <w:trHeight w:val="567" w:hRule="exact"/>
        </w:trPr>
        <w:tc>
          <w:tcPr>
            <w:tcW w:w="667"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7E566775">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10</w:t>
            </w:r>
          </w:p>
        </w:tc>
        <w:tc>
          <w:tcPr>
            <w:tcW w:w="6970"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bottom"/>
          </w:tcPr>
          <w:p w14:paraId="04D46636">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苏州图鸿建筑科技有限公司</w:t>
            </w:r>
          </w:p>
        </w:tc>
        <w:tc>
          <w:tcPr>
            <w:tcW w:w="1353" w:type="dxa"/>
            <w:tcBorders>
              <w:top w:val="single" w:color="000000" w:sz="6" w:space="0"/>
              <w:left w:val="single" w:color="000000" w:sz="6" w:space="0"/>
              <w:bottom w:val="single" w:color="000000" w:sz="6" w:space="0"/>
              <w:right w:val="single" w:color="000000" w:sz="6" w:space="0"/>
            </w:tcBorders>
            <w:tcMar>
              <w:top w:w="15" w:type="dxa"/>
              <w:left w:w="15" w:type="dxa"/>
              <w:right w:w="15" w:type="dxa"/>
            </w:tcMar>
            <w:vAlign w:val="center"/>
          </w:tcPr>
          <w:p w14:paraId="780D577F">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6AD19E92">
        <w:tblPrEx>
          <w:tblCellMar>
            <w:top w:w="0" w:type="dxa"/>
            <w:left w:w="0" w:type="dxa"/>
            <w:bottom w:w="0" w:type="dxa"/>
            <w:right w:w="0" w:type="dxa"/>
          </w:tblCellMar>
        </w:tblPrEx>
        <w:trPr>
          <w:trHeight w:val="605" w:hRule="exact"/>
        </w:trPr>
        <w:tc>
          <w:tcPr>
            <w:tcW w:w="667" w:type="dxa"/>
            <w:tcBorders>
              <w:top w:val="single" w:color="000000" w:sz="6" w:space="0"/>
              <w:left w:val="single" w:color="000000" w:sz="4" w:space="0"/>
              <w:bottom w:val="single" w:color="000000" w:sz="4" w:space="0"/>
              <w:right w:val="single" w:color="000000" w:sz="4" w:space="0"/>
            </w:tcBorders>
            <w:tcMar>
              <w:top w:w="15" w:type="dxa"/>
              <w:left w:w="15" w:type="dxa"/>
              <w:right w:w="15" w:type="dxa"/>
            </w:tcMar>
            <w:vAlign w:val="center"/>
          </w:tcPr>
          <w:p w14:paraId="0D90F780">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11</w:t>
            </w:r>
          </w:p>
        </w:tc>
        <w:tc>
          <w:tcPr>
            <w:tcW w:w="6970" w:type="dxa"/>
            <w:tcBorders>
              <w:top w:val="single" w:color="000000" w:sz="6" w:space="0"/>
              <w:left w:val="single" w:color="000000" w:sz="4" w:space="0"/>
              <w:bottom w:val="single" w:color="000000" w:sz="4" w:space="0"/>
              <w:right w:val="single" w:color="000000" w:sz="4" w:space="0"/>
            </w:tcBorders>
            <w:tcMar>
              <w:top w:w="15" w:type="dxa"/>
              <w:left w:w="15" w:type="dxa"/>
              <w:right w:w="15" w:type="dxa"/>
            </w:tcMar>
            <w:vAlign w:val="bottom"/>
          </w:tcPr>
          <w:p w14:paraId="08109152">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嘉善凝辉新型建材有限公司</w:t>
            </w:r>
          </w:p>
        </w:tc>
        <w:tc>
          <w:tcPr>
            <w:tcW w:w="1353" w:type="dxa"/>
            <w:tcBorders>
              <w:top w:val="single" w:color="000000" w:sz="6" w:space="0"/>
              <w:left w:val="single" w:color="000000" w:sz="4" w:space="0"/>
              <w:bottom w:val="single" w:color="000000" w:sz="4" w:space="0"/>
              <w:right w:val="single" w:color="000000" w:sz="4" w:space="0"/>
            </w:tcBorders>
            <w:tcMar>
              <w:top w:w="15" w:type="dxa"/>
              <w:left w:w="15" w:type="dxa"/>
              <w:right w:w="15" w:type="dxa"/>
            </w:tcMar>
            <w:vAlign w:val="center"/>
          </w:tcPr>
          <w:p w14:paraId="14A2AE3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22FDC218">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3E16E">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12</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3234BF8">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龙信集团江苏建筑产业有限公司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1EEF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11CD47F8">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43DA5">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13</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21D86CD">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上海住总工程材料有限公司</w:t>
            </w:r>
            <w:r>
              <w:rPr>
                <w:rFonts w:hint="eastAsia" w:ascii="宋体" w:hAnsi="宋体" w:cs="宋体"/>
                <w:i w:val="0"/>
                <w:iCs w:val="0"/>
                <w:color w:val="000000"/>
                <w:kern w:val="0"/>
                <w:sz w:val="28"/>
                <w:szCs w:val="28"/>
                <w:u w:val="none"/>
                <w:lang w:val="en-US" w:eastAsia="zh-CN" w:bidi="ar"/>
              </w:rPr>
              <w:t>阪</w:t>
            </w:r>
            <w:r>
              <w:rPr>
                <w:rFonts w:hint="eastAsia" w:ascii="宋体" w:hAnsi="宋体" w:eastAsia="宋体" w:cs="宋体"/>
                <w:i w:val="0"/>
                <w:iCs w:val="0"/>
                <w:color w:val="000000"/>
                <w:kern w:val="0"/>
                <w:sz w:val="28"/>
                <w:szCs w:val="28"/>
                <w:u w:val="none"/>
                <w:lang w:val="en-US" w:eastAsia="zh-CN" w:bidi="ar"/>
              </w:rPr>
              <w:t>申新型材料分公司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6BE0F">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5BCE4BE7">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C3F83">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14</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83CB899">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苏州建国建筑工业有限公司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7AB5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7F545C20">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8DFED">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15</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7F247AE">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江苏卓晟智能建筑科技有限公司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1F9C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3BE5D5A7">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9A0C8">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16</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214AF71">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江苏绿明华宇建筑科技有限公司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FEEB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4BE582A8">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56334">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17</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91FCD16">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南通中房建筑科技有限公司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75377">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629E7535">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EAB74">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18</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B2E1CF3">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苏州嘉盛宝成建筑科技有限公司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CD50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62A215D6">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35837">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19</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826BC2B">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上海练定新材料科技有限公司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BEED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1BC48C73">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A1223">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20</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CAFE09B">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南通华荣建设集团建材科技有限公司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288C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40F4F366">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72C71">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21</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CF5D0E6">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江苏上建舜杰预制构件有限公司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BC4B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7D2ED90F">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2E15C">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22</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945663D">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远大住宅工业科技（常熟）有限公司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66BD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04623E28">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84FEB">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23</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7C55C63">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中建科技（湖州）有限公司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73F6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419E1C0A">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7883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54A1018">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南通欧力达建筑科技有限公司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D090F">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218E1987">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E2BA1">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25</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2DBEAB3">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江苏博拓新型建筑材料股份有限公司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4D8F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7C60F8B0">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8AD2A">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26</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25B75C2">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浙江远大勤业住宅产业化有限公司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08EE5">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209D1B89">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68724">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27</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984B0CC">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南通龙哲混凝土制品有限公司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305C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00CA6019">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11614">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28</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2ABE1F3">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南通环洋建筑材料有限公司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31A1F">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718840A6">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35FE3">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29</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EC684EA">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无锡中构绿色建筑科技有限公司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3551F">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6C80543A">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3168A">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30</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7BFECBE">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海门市华亿新型建材有限公司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04F0F">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6D60CB5F">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2400D">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31</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0034D4B">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江苏东尚住宅工业有限公司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088DA">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31FB1373">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D0306">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32</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5D25C1E">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浙江省建材集团建筑产业化有限公司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5C89A">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50609130">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4C85A">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33</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6806419">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玉荣建筑科技（兴化）有限公司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467DF">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29CD2694">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F27FA">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34</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54B22CC">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江苏恒逸明新材料科技有限公司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EDAF2">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2195E0D5">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E4BE8">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35</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9BA695D">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中交浚浦建筑科技（上海）有限公司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ACF8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36E71EB0">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87AFE">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36</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CE3875B">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江苏宇辉新材料集团有限公司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02EA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7A927311">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A4DC7">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37</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259B304">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江苏叙施建筑科技有限公司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2C551">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1FDAEE3E">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8EB3A">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38</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1BC17D7">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江苏沃宸住宅工业有限公司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3AA1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1F58165A">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BFBFE">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39</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32FBD21">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江苏同辉绿建科技有限公司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A3B1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4D56E964">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9F22C">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40</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C5AF17F">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浙江环宇筑友建筑科技有限公司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BA62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257C6023">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61D46">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41</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D55A874">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江阴云力构件科技有限公司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42292">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4E71E61A">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07B1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58700BB">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江苏广亿信科技有限公司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315F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34D8EF5C">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B2A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43</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6FCAD30">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泰州研砼建筑科技有限公司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68F7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775349F8">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9C52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44</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D44B71D">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建华建材（中国）有限公司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3965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08A317B9">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DB675">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45</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1A4B23A">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中建科技镇江有限公司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1DCE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08E3F4F2">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7C786">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46</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B2CE139">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中铁十九局集团第六工程有限公司南通分公司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FF24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4D003F47">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2A8D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47</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E59E8B5">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友巢新材料（浙江）股份有限公司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C1CB3">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73506EF3">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58354">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48</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2F50B35">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江苏金立方混凝土制品有限公司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00D8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7F328063">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D75E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49</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2BF8794">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江苏莱士敦建筑科技有限公司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1C031">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3A7BB428">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415F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B5203D8">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中建三局建筑科技武汉有限公司南通如皋分公司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ACE1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4AF7B424">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40EA8">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51</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F2BCE7F">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浙江昇安建枫建筑科技有限责任公司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4943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7025655B">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7ACD5E6">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52</w:t>
            </w:r>
          </w:p>
        </w:tc>
        <w:tc>
          <w:tcPr>
            <w:tcW w:w="69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14:paraId="5C6AC0DF">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江苏顶德新材料科技有限公司</w:t>
            </w:r>
          </w:p>
        </w:tc>
        <w:tc>
          <w:tcPr>
            <w:tcW w:w="135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12C873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B</w:t>
            </w:r>
          </w:p>
        </w:tc>
      </w:tr>
      <w:tr w14:paraId="37ABC271">
        <w:tblPrEx>
          <w:tblCellMar>
            <w:top w:w="0" w:type="dxa"/>
            <w:left w:w="0" w:type="dxa"/>
            <w:bottom w:w="0" w:type="dxa"/>
            <w:right w:w="0" w:type="dxa"/>
          </w:tblCellMar>
        </w:tblPrEx>
        <w:trPr>
          <w:trHeight w:val="567" w:hRule="exac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49F71F">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53</w:t>
            </w:r>
          </w:p>
        </w:tc>
        <w:tc>
          <w:tcPr>
            <w:tcW w:w="6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7CF75E">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浙江中清大建筑工业有限公司预制构件分公司</w:t>
            </w:r>
          </w:p>
        </w:tc>
        <w:tc>
          <w:tcPr>
            <w:tcW w:w="1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80F041">
            <w:pPr>
              <w:keepNext w:val="0"/>
              <w:keepLines w:val="0"/>
              <w:widowControl/>
              <w:suppressLineNumbers w:val="0"/>
              <w:jc w:val="center"/>
              <w:textAlignment w:val="center"/>
              <w:rPr>
                <w:rFonts w:hint="eastAsia"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B</w:t>
            </w:r>
          </w:p>
        </w:tc>
      </w:tr>
      <w:tr w14:paraId="0B1DD094">
        <w:tblPrEx>
          <w:tblCellMar>
            <w:top w:w="0" w:type="dxa"/>
            <w:left w:w="0" w:type="dxa"/>
            <w:bottom w:w="0" w:type="dxa"/>
            <w:right w:w="0" w:type="dxa"/>
          </w:tblCellMar>
        </w:tblPrEx>
        <w:trPr>
          <w:trHeight w:val="567" w:hRule="exact"/>
        </w:trPr>
        <w:tc>
          <w:tcPr>
            <w:tcW w:w="667" w:type="dxa"/>
            <w:tcBorders>
              <w:top w:val="single" w:color="auto" w:sz="4" w:space="0"/>
              <w:left w:val="nil"/>
              <w:bottom w:val="nil"/>
              <w:right w:val="nil"/>
            </w:tcBorders>
            <w:tcMar>
              <w:top w:w="15" w:type="dxa"/>
              <w:left w:w="15" w:type="dxa"/>
              <w:right w:w="15" w:type="dxa"/>
            </w:tcMar>
            <w:vAlign w:val="center"/>
          </w:tcPr>
          <w:p w14:paraId="29F9302E">
            <w:pPr>
              <w:keepNext w:val="0"/>
              <w:keepLines w:val="0"/>
              <w:widowControl/>
              <w:suppressLineNumbers w:val="0"/>
              <w:jc w:val="center"/>
              <w:textAlignment w:val="center"/>
              <w:rPr>
                <w:rFonts w:hint="eastAsia" w:ascii="宋体" w:hAnsi="宋体" w:eastAsia="宋体" w:cs="宋体"/>
                <w:i w:val="0"/>
                <w:color w:val="000000"/>
                <w:sz w:val="28"/>
                <w:szCs w:val="28"/>
                <w:u w:val="none"/>
              </w:rPr>
            </w:pPr>
          </w:p>
        </w:tc>
        <w:tc>
          <w:tcPr>
            <w:tcW w:w="6970" w:type="dxa"/>
            <w:tcBorders>
              <w:top w:val="single" w:color="auto" w:sz="4" w:space="0"/>
              <w:left w:val="nil"/>
              <w:bottom w:val="nil"/>
              <w:right w:val="nil"/>
            </w:tcBorders>
            <w:tcMar>
              <w:top w:w="15" w:type="dxa"/>
              <w:left w:w="15" w:type="dxa"/>
              <w:right w:w="15" w:type="dxa"/>
            </w:tcMar>
            <w:vAlign w:val="center"/>
          </w:tcPr>
          <w:p w14:paraId="03565CF4">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p>
        </w:tc>
        <w:tc>
          <w:tcPr>
            <w:tcW w:w="1353" w:type="dxa"/>
            <w:tcBorders>
              <w:top w:val="single" w:color="auto" w:sz="4" w:space="0"/>
              <w:left w:val="nil"/>
              <w:bottom w:val="nil"/>
              <w:right w:val="nil"/>
            </w:tcBorders>
            <w:tcMar>
              <w:top w:w="15" w:type="dxa"/>
              <w:left w:w="15" w:type="dxa"/>
              <w:right w:w="15" w:type="dxa"/>
            </w:tcMar>
            <w:vAlign w:val="center"/>
          </w:tcPr>
          <w:p w14:paraId="7930B9BA">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3BE01028">
        <w:tblPrEx>
          <w:tblCellMar>
            <w:top w:w="0" w:type="dxa"/>
            <w:left w:w="0" w:type="dxa"/>
            <w:bottom w:w="0" w:type="dxa"/>
            <w:right w:w="0" w:type="dxa"/>
          </w:tblCellMar>
        </w:tblPrEx>
        <w:trPr>
          <w:trHeight w:val="567" w:hRule="exact"/>
        </w:trPr>
        <w:tc>
          <w:tcPr>
            <w:tcW w:w="667" w:type="dxa"/>
            <w:tcBorders>
              <w:top w:val="nil"/>
              <w:left w:val="nil"/>
              <w:bottom w:val="nil"/>
              <w:right w:val="nil"/>
            </w:tcBorders>
            <w:tcMar>
              <w:top w:w="15" w:type="dxa"/>
              <w:left w:w="15" w:type="dxa"/>
              <w:right w:w="15" w:type="dxa"/>
            </w:tcMar>
            <w:vAlign w:val="center"/>
          </w:tcPr>
          <w:p w14:paraId="62332984">
            <w:pPr>
              <w:keepNext w:val="0"/>
              <w:keepLines w:val="0"/>
              <w:widowControl/>
              <w:suppressLineNumbers w:val="0"/>
              <w:jc w:val="center"/>
              <w:textAlignment w:val="center"/>
              <w:rPr>
                <w:rFonts w:hint="eastAsia" w:ascii="宋体" w:hAnsi="宋体" w:eastAsia="宋体" w:cs="宋体"/>
                <w:i w:val="0"/>
                <w:color w:val="000000"/>
                <w:sz w:val="28"/>
                <w:szCs w:val="28"/>
                <w:u w:val="none"/>
              </w:rPr>
            </w:pPr>
          </w:p>
        </w:tc>
        <w:tc>
          <w:tcPr>
            <w:tcW w:w="6970" w:type="dxa"/>
            <w:tcBorders>
              <w:top w:val="nil"/>
              <w:left w:val="nil"/>
              <w:bottom w:val="nil"/>
              <w:right w:val="nil"/>
            </w:tcBorders>
            <w:tcMar>
              <w:top w:w="15" w:type="dxa"/>
              <w:left w:w="15" w:type="dxa"/>
              <w:right w:w="15" w:type="dxa"/>
            </w:tcMar>
            <w:vAlign w:val="center"/>
          </w:tcPr>
          <w:p w14:paraId="469EBD2A">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p>
        </w:tc>
        <w:tc>
          <w:tcPr>
            <w:tcW w:w="1353" w:type="dxa"/>
            <w:tcBorders>
              <w:top w:val="nil"/>
              <w:left w:val="nil"/>
              <w:bottom w:val="nil"/>
              <w:right w:val="nil"/>
            </w:tcBorders>
            <w:tcMar>
              <w:top w:w="15" w:type="dxa"/>
              <w:left w:w="15" w:type="dxa"/>
              <w:right w:w="15" w:type="dxa"/>
            </w:tcMar>
            <w:vAlign w:val="center"/>
          </w:tcPr>
          <w:p w14:paraId="1B16F430">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52B0AAAE">
        <w:tblPrEx>
          <w:tblCellMar>
            <w:top w:w="0" w:type="dxa"/>
            <w:left w:w="0" w:type="dxa"/>
            <w:bottom w:w="0" w:type="dxa"/>
            <w:right w:w="0" w:type="dxa"/>
          </w:tblCellMar>
        </w:tblPrEx>
        <w:trPr>
          <w:trHeight w:val="567" w:hRule="exact"/>
        </w:trPr>
        <w:tc>
          <w:tcPr>
            <w:tcW w:w="667" w:type="dxa"/>
            <w:tcBorders>
              <w:top w:val="nil"/>
              <w:left w:val="nil"/>
              <w:bottom w:val="nil"/>
              <w:right w:val="nil"/>
            </w:tcBorders>
            <w:tcMar>
              <w:top w:w="15" w:type="dxa"/>
              <w:left w:w="15" w:type="dxa"/>
              <w:right w:w="15" w:type="dxa"/>
            </w:tcMar>
            <w:vAlign w:val="center"/>
          </w:tcPr>
          <w:p w14:paraId="5A96EA8C">
            <w:pPr>
              <w:keepNext w:val="0"/>
              <w:keepLines w:val="0"/>
              <w:widowControl/>
              <w:suppressLineNumbers w:val="0"/>
              <w:jc w:val="center"/>
              <w:textAlignment w:val="center"/>
              <w:rPr>
                <w:rFonts w:hint="eastAsia" w:ascii="宋体" w:hAnsi="宋体" w:eastAsia="宋体" w:cs="宋体"/>
                <w:i w:val="0"/>
                <w:color w:val="000000"/>
                <w:sz w:val="28"/>
                <w:szCs w:val="28"/>
                <w:u w:val="none"/>
              </w:rPr>
            </w:pPr>
          </w:p>
        </w:tc>
        <w:tc>
          <w:tcPr>
            <w:tcW w:w="6970" w:type="dxa"/>
            <w:tcBorders>
              <w:top w:val="nil"/>
              <w:left w:val="nil"/>
              <w:bottom w:val="nil"/>
              <w:right w:val="nil"/>
            </w:tcBorders>
            <w:tcMar>
              <w:top w:w="15" w:type="dxa"/>
              <w:left w:w="15" w:type="dxa"/>
              <w:right w:w="15" w:type="dxa"/>
            </w:tcMar>
            <w:vAlign w:val="center"/>
          </w:tcPr>
          <w:p w14:paraId="030D0FD1">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p>
        </w:tc>
        <w:tc>
          <w:tcPr>
            <w:tcW w:w="1353" w:type="dxa"/>
            <w:tcBorders>
              <w:top w:val="nil"/>
              <w:left w:val="nil"/>
              <w:bottom w:val="nil"/>
              <w:right w:val="nil"/>
            </w:tcBorders>
            <w:tcMar>
              <w:top w:w="15" w:type="dxa"/>
              <w:left w:w="15" w:type="dxa"/>
              <w:right w:w="15" w:type="dxa"/>
            </w:tcMar>
            <w:vAlign w:val="center"/>
          </w:tcPr>
          <w:p w14:paraId="5EA16B4F">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0F78B2BE">
        <w:tblPrEx>
          <w:tblCellMar>
            <w:top w:w="0" w:type="dxa"/>
            <w:left w:w="0" w:type="dxa"/>
            <w:bottom w:w="0" w:type="dxa"/>
            <w:right w:w="0" w:type="dxa"/>
          </w:tblCellMar>
        </w:tblPrEx>
        <w:trPr>
          <w:trHeight w:val="567" w:hRule="exact"/>
        </w:trPr>
        <w:tc>
          <w:tcPr>
            <w:tcW w:w="667" w:type="dxa"/>
            <w:tcBorders>
              <w:top w:val="nil"/>
              <w:left w:val="nil"/>
              <w:bottom w:val="nil"/>
              <w:right w:val="nil"/>
            </w:tcBorders>
            <w:tcMar>
              <w:top w:w="15" w:type="dxa"/>
              <w:left w:w="15" w:type="dxa"/>
              <w:right w:w="15" w:type="dxa"/>
            </w:tcMar>
            <w:vAlign w:val="center"/>
          </w:tcPr>
          <w:p w14:paraId="1DBADC8A">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p>
        </w:tc>
        <w:tc>
          <w:tcPr>
            <w:tcW w:w="6970" w:type="dxa"/>
            <w:tcBorders>
              <w:top w:val="nil"/>
              <w:left w:val="nil"/>
              <w:bottom w:val="nil"/>
              <w:right w:val="nil"/>
            </w:tcBorders>
            <w:tcMar>
              <w:top w:w="15" w:type="dxa"/>
              <w:left w:w="15" w:type="dxa"/>
              <w:right w:w="15" w:type="dxa"/>
            </w:tcMar>
            <w:vAlign w:val="center"/>
          </w:tcPr>
          <w:p w14:paraId="6FA1952F">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p>
        </w:tc>
        <w:tc>
          <w:tcPr>
            <w:tcW w:w="1353" w:type="dxa"/>
            <w:tcBorders>
              <w:top w:val="nil"/>
              <w:left w:val="nil"/>
              <w:bottom w:val="nil"/>
              <w:right w:val="nil"/>
            </w:tcBorders>
            <w:tcMar>
              <w:top w:w="15" w:type="dxa"/>
              <w:left w:w="15" w:type="dxa"/>
              <w:right w:w="15" w:type="dxa"/>
            </w:tcMar>
            <w:vAlign w:val="center"/>
          </w:tcPr>
          <w:p w14:paraId="65A1D3E5">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14:paraId="577189C6">
        <w:tblPrEx>
          <w:tblCellMar>
            <w:top w:w="0" w:type="dxa"/>
            <w:left w:w="0" w:type="dxa"/>
            <w:bottom w:w="0" w:type="dxa"/>
            <w:right w:w="0" w:type="dxa"/>
          </w:tblCellMar>
        </w:tblPrEx>
        <w:trPr>
          <w:trHeight w:val="567" w:hRule="exact"/>
        </w:trPr>
        <w:tc>
          <w:tcPr>
            <w:tcW w:w="667" w:type="dxa"/>
            <w:tcBorders>
              <w:top w:val="nil"/>
              <w:left w:val="nil"/>
              <w:bottom w:val="nil"/>
              <w:right w:val="nil"/>
            </w:tcBorders>
            <w:tcMar>
              <w:top w:w="15" w:type="dxa"/>
              <w:left w:w="15" w:type="dxa"/>
              <w:right w:w="15" w:type="dxa"/>
            </w:tcMar>
            <w:vAlign w:val="center"/>
          </w:tcPr>
          <w:p w14:paraId="4D867166">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p>
        </w:tc>
        <w:tc>
          <w:tcPr>
            <w:tcW w:w="6970" w:type="dxa"/>
            <w:tcBorders>
              <w:top w:val="nil"/>
              <w:left w:val="nil"/>
              <w:bottom w:val="nil"/>
              <w:right w:val="nil"/>
            </w:tcBorders>
            <w:tcMar>
              <w:top w:w="15" w:type="dxa"/>
              <w:left w:w="15" w:type="dxa"/>
              <w:right w:w="15" w:type="dxa"/>
            </w:tcMar>
            <w:vAlign w:val="center"/>
          </w:tcPr>
          <w:p w14:paraId="3438341F">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p>
        </w:tc>
        <w:tc>
          <w:tcPr>
            <w:tcW w:w="1353" w:type="dxa"/>
            <w:tcBorders>
              <w:top w:val="nil"/>
              <w:left w:val="nil"/>
              <w:bottom w:val="nil"/>
              <w:right w:val="nil"/>
            </w:tcBorders>
            <w:tcMar>
              <w:top w:w="15" w:type="dxa"/>
              <w:left w:w="15" w:type="dxa"/>
              <w:right w:w="15" w:type="dxa"/>
            </w:tcMar>
            <w:vAlign w:val="center"/>
          </w:tcPr>
          <w:p w14:paraId="4DB52D81">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14:paraId="0A58B50B">
        <w:tblPrEx>
          <w:tblCellMar>
            <w:top w:w="0" w:type="dxa"/>
            <w:left w:w="0" w:type="dxa"/>
            <w:bottom w:w="0" w:type="dxa"/>
            <w:right w:w="0" w:type="dxa"/>
          </w:tblCellMar>
        </w:tblPrEx>
        <w:trPr>
          <w:trHeight w:val="652" w:hRule="exact"/>
        </w:trPr>
        <w:tc>
          <w:tcPr>
            <w:tcW w:w="667" w:type="dxa"/>
            <w:tcBorders>
              <w:top w:val="nil"/>
              <w:left w:val="nil"/>
              <w:bottom w:val="single" w:color="000000" w:sz="4" w:space="0"/>
              <w:right w:val="nil"/>
            </w:tcBorders>
            <w:tcMar>
              <w:top w:w="15" w:type="dxa"/>
              <w:left w:w="15" w:type="dxa"/>
              <w:right w:w="15" w:type="dxa"/>
            </w:tcMar>
            <w:vAlign w:val="center"/>
          </w:tcPr>
          <w:p w14:paraId="17C08A42">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c>
          <w:tcPr>
            <w:tcW w:w="6970" w:type="dxa"/>
            <w:tcBorders>
              <w:top w:val="nil"/>
              <w:left w:val="nil"/>
              <w:bottom w:val="single" w:color="000000" w:sz="4" w:space="0"/>
              <w:right w:val="nil"/>
            </w:tcBorders>
            <w:tcMar>
              <w:top w:w="15" w:type="dxa"/>
              <w:left w:w="15" w:type="dxa"/>
              <w:right w:w="15" w:type="dxa"/>
            </w:tcMar>
            <w:vAlign w:val="center"/>
          </w:tcPr>
          <w:p w14:paraId="26321BB9">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黑体" w:hAnsi="黑体" w:eastAsia="黑体" w:cs="黑体"/>
                <w:b/>
                <w:i w:val="0"/>
                <w:color w:val="000000"/>
                <w:kern w:val="0"/>
                <w:sz w:val="32"/>
                <w:szCs w:val="32"/>
                <w:u w:val="none"/>
                <w:lang w:val="en-US" w:eastAsia="zh-CN" w:bidi="ar"/>
              </w:rPr>
              <w:t>2024年度C级企业</w:t>
            </w:r>
          </w:p>
        </w:tc>
        <w:tc>
          <w:tcPr>
            <w:tcW w:w="1353" w:type="dxa"/>
            <w:tcBorders>
              <w:top w:val="nil"/>
              <w:left w:val="nil"/>
              <w:bottom w:val="single" w:color="000000" w:sz="4" w:space="0"/>
              <w:right w:val="nil"/>
            </w:tcBorders>
            <w:tcMar>
              <w:top w:w="15" w:type="dxa"/>
              <w:left w:w="15" w:type="dxa"/>
              <w:right w:w="15" w:type="dxa"/>
            </w:tcMar>
            <w:vAlign w:val="center"/>
          </w:tcPr>
          <w:p w14:paraId="5FD9F280">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14:paraId="256083D6">
        <w:tblPrEx>
          <w:tblCellMar>
            <w:top w:w="0" w:type="dxa"/>
            <w:left w:w="0" w:type="dxa"/>
            <w:bottom w:w="0" w:type="dxa"/>
            <w:right w:w="0" w:type="dxa"/>
          </w:tblCellMar>
        </w:tblPrEx>
        <w:trPr>
          <w:trHeight w:val="516"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74CBD">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序号</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F778F">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企业名称</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BBC9E">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等级</w:t>
            </w:r>
          </w:p>
        </w:tc>
      </w:tr>
      <w:tr w14:paraId="6E9F8A90">
        <w:tblPrEx>
          <w:tblCellMar>
            <w:top w:w="0" w:type="dxa"/>
            <w:left w:w="0" w:type="dxa"/>
            <w:bottom w:w="0" w:type="dxa"/>
            <w:right w:w="0" w:type="dxa"/>
          </w:tblCellMar>
        </w:tblPrEx>
        <w:trPr>
          <w:trHeight w:val="505"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768E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D2A22C6">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绍兴宝城建筑工业化制造有限公司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88EF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14:paraId="2C13F361">
        <w:tblPrEx>
          <w:tblCellMar>
            <w:top w:w="0" w:type="dxa"/>
            <w:left w:w="0" w:type="dxa"/>
            <w:bottom w:w="0" w:type="dxa"/>
            <w:right w:w="0" w:type="dxa"/>
          </w:tblCellMar>
        </w:tblPrEx>
        <w:trPr>
          <w:trHeight w:val="536"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AADC5">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6182FC9">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南通市康民全预制构件有限公司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2E54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14:paraId="5D7CAA34">
        <w:tblPrEx>
          <w:tblCellMar>
            <w:top w:w="0" w:type="dxa"/>
            <w:left w:w="0" w:type="dxa"/>
            <w:bottom w:w="0" w:type="dxa"/>
            <w:right w:w="0" w:type="dxa"/>
          </w:tblCellMar>
        </w:tblPrEx>
        <w:trPr>
          <w:trHeight w:val="526"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D6B05">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F861C89">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苏州绿建住工科技有限公司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01EB1">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14:paraId="7D82629F">
        <w:tblPrEx>
          <w:tblCellMar>
            <w:top w:w="0" w:type="dxa"/>
            <w:left w:w="0" w:type="dxa"/>
            <w:bottom w:w="0" w:type="dxa"/>
            <w:right w:w="0" w:type="dxa"/>
          </w:tblCellMar>
        </w:tblPrEx>
        <w:trPr>
          <w:trHeight w:val="526"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2934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8FA053C">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无锡锦汇建筑科技有限公司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0ACC7">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14:paraId="4A1287E2">
        <w:tblPrEx>
          <w:tblCellMar>
            <w:top w:w="0" w:type="dxa"/>
            <w:left w:w="0" w:type="dxa"/>
            <w:bottom w:w="0" w:type="dxa"/>
            <w:right w:w="0" w:type="dxa"/>
          </w:tblCellMar>
        </w:tblPrEx>
        <w:trPr>
          <w:trHeight w:val="495"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7B468">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5AE731A">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海安瑞康建筑材料有限公司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9968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14:paraId="7E0B08A4">
        <w:tblPrEx>
          <w:tblCellMar>
            <w:top w:w="0" w:type="dxa"/>
            <w:left w:w="0" w:type="dxa"/>
            <w:bottom w:w="0" w:type="dxa"/>
            <w:right w:w="0" w:type="dxa"/>
          </w:tblCellMar>
        </w:tblPrEx>
        <w:trPr>
          <w:trHeight w:val="485"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43A87">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4D604A4">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江苏蓝海住宅工业有限公司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CA69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14:paraId="5FCA090C">
        <w:tblPrEx>
          <w:tblCellMar>
            <w:top w:w="0" w:type="dxa"/>
            <w:left w:w="0" w:type="dxa"/>
            <w:bottom w:w="0" w:type="dxa"/>
            <w:right w:w="0" w:type="dxa"/>
          </w:tblCellMar>
        </w:tblPrEx>
        <w:trPr>
          <w:trHeight w:val="474" w:hRule="exact"/>
        </w:trPr>
        <w:tc>
          <w:tcPr>
            <w:tcW w:w="6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5FEEAA4">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69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14:paraId="728EDB34">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江苏悦港新材料科技有限公司</w:t>
            </w:r>
          </w:p>
        </w:tc>
        <w:tc>
          <w:tcPr>
            <w:tcW w:w="135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C902A07">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14:paraId="2E56A127">
        <w:tblPrEx>
          <w:tblCellMar>
            <w:top w:w="0" w:type="dxa"/>
            <w:left w:w="0" w:type="dxa"/>
            <w:bottom w:w="0" w:type="dxa"/>
            <w:right w:w="0" w:type="dxa"/>
          </w:tblCellMar>
        </w:tblPrEx>
        <w:trPr>
          <w:trHeight w:val="516" w:hRule="exac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916D54">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6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E74C57E">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江苏浦凯建筑科技有限公司</w:t>
            </w:r>
          </w:p>
        </w:tc>
        <w:tc>
          <w:tcPr>
            <w:tcW w:w="1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FB87F4">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C</w:t>
            </w:r>
          </w:p>
        </w:tc>
      </w:tr>
      <w:tr w14:paraId="31EF7565">
        <w:tblPrEx>
          <w:tblCellMar>
            <w:top w:w="0" w:type="dxa"/>
            <w:left w:w="0" w:type="dxa"/>
            <w:bottom w:w="0" w:type="dxa"/>
            <w:right w:w="0" w:type="dxa"/>
          </w:tblCellMar>
        </w:tblPrEx>
        <w:trPr>
          <w:trHeight w:val="516" w:hRule="exact"/>
        </w:trPr>
        <w:tc>
          <w:tcPr>
            <w:tcW w:w="667" w:type="dxa"/>
            <w:tcBorders>
              <w:top w:val="single" w:color="auto" w:sz="4" w:space="0"/>
              <w:left w:val="nil"/>
              <w:bottom w:val="nil"/>
              <w:right w:val="nil"/>
            </w:tcBorders>
            <w:tcMar>
              <w:top w:w="15" w:type="dxa"/>
              <w:left w:w="15" w:type="dxa"/>
              <w:right w:w="15" w:type="dxa"/>
            </w:tcMar>
            <w:vAlign w:val="center"/>
          </w:tcPr>
          <w:p w14:paraId="357AE1BA">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6970" w:type="dxa"/>
            <w:tcBorders>
              <w:top w:val="single" w:color="auto" w:sz="4" w:space="0"/>
              <w:left w:val="nil"/>
              <w:bottom w:val="nil"/>
              <w:right w:val="nil"/>
            </w:tcBorders>
            <w:tcMar>
              <w:top w:w="15" w:type="dxa"/>
              <w:left w:w="15" w:type="dxa"/>
              <w:right w:w="15" w:type="dxa"/>
            </w:tcMar>
            <w:vAlign w:val="bottom"/>
          </w:tcPr>
          <w:p w14:paraId="48B51B9D">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p>
        </w:tc>
        <w:tc>
          <w:tcPr>
            <w:tcW w:w="1353" w:type="dxa"/>
            <w:tcBorders>
              <w:top w:val="single" w:color="auto" w:sz="4" w:space="0"/>
              <w:left w:val="nil"/>
              <w:bottom w:val="nil"/>
              <w:right w:val="nil"/>
            </w:tcBorders>
            <w:tcMar>
              <w:top w:w="15" w:type="dxa"/>
              <w:left w:w="15" w:type="dxa"/>
              <w:right w:w="15" w:type="dxa"/>
            </w:tcMar>
            <w:vAlign w:val="center"/>
          </w:tcPr>
          <w:p w14:paraId="74710424">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14:paraId="6E00D32C">
        <w:tblPrEx>
          <w:tblCellMar>
            <w:top w:w="0" w:type="dxa"/>
            <w:left w:w="0" w:type="dxa"/>
            <w:bottom w:w="0" w:type="dxa"/>
            <w:right w:w="0" w:type="dxa"/>
          </w:tblCellMar>
        </w:tblPrEx>
        <w:trPr>
          <w:trHeight w:val="516" w:hRule="exact"/>
        </w:trPr>
        <w:tc>
          <w:tcPr>
            <w:tcW w:w="667" w:type="dxa"/>
            <w:tcBorders>
              <w:top w:val="nil"/>
              <w:left w:val="nil"/>
              <w:bottom w:val="nil"/>
              <w:right w:val="nil"/>
            </w:tcBorders>
            <w:tcMar>
              <w:top w:w="15" w:type="dxa"/>
              <w:left w:w="15" w:type="dxa"/>
              <w:right w:w="15" w:type="dxa"/>
            </w:tcMar>
            <w:vAlign w:val="center"/>
          </w:tcPr>
          <w:p w14:paraId="0716D609">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6970" w:type="dxa"/>
            <w:tcBorders>
              <w:top w:val="nil"/>
              <w:left w:val="nil"/>
              <w:bottom w:val="nil"/>
              <w:right w:val="nil"/>
            </w:tcBorders>
            <w:tcMar>
              <w:top w:w="15" w:type="dxa"/>
              <w:left w:w="15" w:type="dxa"/>
              <w:right w:w="15" w:type="dxa"/>
            </w:tcMar>
            <w:vAlign w:val="bottom"/>
          </w:tcPr>
          <w:p w14:paraId="62E42B0B">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p>
        </w:tc>
        <w:tc>
          <w:tcPr>
            <w:tcW w:w="1353" w:type="dxa"/>
            <w:tcBorders>
              <w:top w:val="nil"/>
              <w:left w:val="nil"/>
              <w:bottom w:val="nil"/>
              <w:right w:val="nil"/>
            </w:tcBorders>
            <w:tcMar>
              <w:top w:w="15" w:type="dxa"/>
              <w:left w:w="15" w:type="dxa"/>
              <w:right w:w="15" w:type="dxa"/>
            </w:tcMar>
            <w:vAlign w:val="center"/>
          </w:tcPr>
          <w:p w14:paraId="381D13D5">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14:paraId="07EADDA1">
        <w:tblPrEx>
          <w:tblCellMar>
            <w:top w:w="0" w:type="dxa"/>
            <w:left w:w="0" w:type="dxa"/>
            <w:bottom w:w="0" w:type="dxa"/>
            <w:right w:w="0" w:type="dxa"/>
          </w:tblCellMar>
        </w:tblPrEx>
        <w:trPr>
          <w:trHeight w:val="515" w:hRule="exact"/>
        </w:trPr>
        <w:tc>
          <w:tcPr>
            <w:tcW w:w="667" w:type="dxa"/>
            <w:tcBorders>
              <w:top w:val="nil"/>
              <w:left w:val="nil"/>
              <w:bottom w:val="nil"/>
              <w:right w:val="nil"/>
            </w:tcBorders>
            <w:tcMar>
              <w:top w:w="15" w:type="dxa"/>
              <w:left w:w="15" w:type="dxa"/>
              <w:right w:w="15" w:type="dxa"/>
            </w:tcMar>
            <w:vAlign w:val="center"/>
          </w:tcPr>
          <w:p w14:paraId="080C0060">
            <w:pPr>
              <w:keepNext w:val="0"/>
              <w:keepLines w:val="0"/>
              <w:widowControl/>
              <w:suppressLineNumbers w:val="0"/>
              <w:jc w:val="center"/>
              <w:textAlignment w:val="center"/>
              <w:rPr>
                <w:rFonts w:hint="eastAsia" w:ascii="宋体" w:hAnsi="宋体" w:eastAsia="宋体" w:cs="宋体"/>
                <w:i w:val="0"/>
                <w:color w:val="000000"/>
                <w:sz w:val="28"/>
                <w:szCs w:val="28"/>
                <w:u w:val="none"/>
              </w:rPr>
            </w:pPr>
          </w:p>
        </w:tc>
        <w:tc>
          <w:tcPr>
            <w:tcW w:w="6970" w:type="dxa"/>
            <w:tcBorders>
              <w:top w:val="nil"/>
              <w:left w:val="nil"/>
              <w:bottom w:val="nil"/>
              <w:right w:val="nil"/>
            </w:tcBorders>
            <w:tcMar>
              <w:top w:w="15" w:type="dxa"/>
              <w:left w:w="15" w:type="dxa"/>
              <w:right w:w="15" w:type="dxa"/>
            </w:tcMar>
            <w:vAlign w:val="bottom"/>
          </w:tcPr>
          <w:p w14:paraId="356D5EEA">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p>
        </w:tc>
        <w:tc>
          <w:tcPr>
            <w:tcW w:w="1353" w:type="dxa"/>
            <w:tcBorders>
              <w:top w:val="nil"/>
              <w:left w:val="nil"/>
              <w:bottom w:val="nil"/>
              <w:right w:val="nil"/>
            </w:tcBorders>
            <w:tcMar>
              <w:top w:w="15" w:type="dxa"/>
              <w:left w:w="15" w:type="dxa"/>
              <w:right w:w="15" w:type="dxa"/>
            </w:tcMar>
            <w:vAlign w:val="center"/>
          </w:tcPr>
          <w:p w14:paraId="4C9D2454">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bl>
    <w:p w14:paraId="6094E360"/>
    <w:p w14:paraId="18491116">
      <w:pPr>
        <w:keepNext w:val="0"/>
        <w:keepLines w:val="0"/>
        <w:pageBreakBefore w:val="0"/>
        <w:widowControl w:val="0"/>
        <w:kinsoku/>
        <w:wordWrap/>
        <w:overflowPunct w:val="0"/>
        <w:topLinePunct/>
        <w:autoSpaceDE/>
        <w:autoSpaceDN/>
        <w:bidi w:val="0"/>
        <w:snapToGrid/>
        <w:textAlignment w:val="auto"/>
        <w:rPr>
          <w:rFonts w:hint="eastAsia" w:ascii="仿宋" w:hAnsi="仿宋" w:eastAsia="仿宋" w:cs="仿宋"/>
          <w:szCs w:val="32"/>
          <w:lang w:val="en-US" w:eastAsia="zh-CN"/>
        </w:rPr>
      </w:pPr>
    </w:p>
    <w:sectPr>
      <w:headerReference r:id="rId3" w:type="default"/>
      <w:footerReference r:id="rId5" w:type="default"/>
      <w:headerReference r:id="rId4" w:type="even"/>
      <w:footerReference r:id="rId6" w:type="even"/>
      <w:pgSz w:w="11906" w:h="16838"/>
      <w:pgMar w:top="1962" w:right="1474" w:bottom="1848" w:left="1587" w:header="851" w:footer="992" w:gutter="0"/>
      <w:pgNumType w:fmt="decimal"/>
      <w:cols w:space="720" w:num="1"/>
      <w:docGrid w:type="linesAndChars" w:linePitch="592"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940D1B-CF9C-46AE-980B-B213F8A92D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2" w:fontKey="{88689F37-5D89-4130-B035-709351B1613F}"/>
  </w:font>
  <w:font w:name="楷体">
    <w:panose1 w:val="02010609060101010101"/>
    <w:charset w:val="86"/>
    <w:family w:val="auto"/>
    <w:pitch w:val="default"/>
    <w:sig w:usb0="800002BF" w:usb1="38CF7CFA" w:usb2="00000016" w:usb3="00000000" w:csb0="00040001" w:csb1="00000000"/>
    <w:embedRegular r:id="rId3" w:fontKey="{8B478634-CC72-47F6-BD05-F3DDA0FD7762}"/>
  </w:font>
  <w:font w:name="方正小标宋_GBK">
    <w:altName w:val="微软雅黑"/>
    <w:panose1 w:val="00000000000000000000"/>
    <w:charset w:val="00"/>
    <w:family w:val="auto"/>
    <w:pitch w:val="default"/>
    <w:sig w:usb0="00000000" w:usb1="00000000" w:usb2="00000000" w:usb3="00000000" w:csb0="00040001" w:csb1="00000000"/>
    <w:embedRegular r:id="rId4" w:fontKey="{9E1C122B-0F29-46F5-A991-E2527ACFFE4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3381A8C0-82BB-4BA5-A037-CC997FF5A6D7}"/>
  </w:font>
  <w:font w:name="方正仿宋_GBK">
    <w:altName w:val="微软雅黑"/>
    <w:panose1 w:val="03000509000000000000"/>
    <w:charset w:val="86"/>
    <w:family w:val="auto"/>
    <w:pitch w:val="default"/>
    <w:sig w:usb0="00000000" w:usb1="00000000" w:usb2="00000000" w:usb3="00000000" w:csb0="00040000" w:csb1="00000000"/>
    <w:embedRegular r:id="rId6" w:fontKey="{AF341E5F-3299-49CD-A47E-2990053781ED}"/>
  </w:font>
  <w:font w:name="华文中宋">
    <w:panose1 w:val="02010600040101010101"/>
    <w:charset w:val="86"/>
    <w:family w:val="auto"/>
    <w:pitch w:val="default"/>
    <w:sig w:usb0="00000287" w:usb1="080F0000" w:usb2="00000000" w:usb3="00000000" w:csb0="0004009F" w:csb1="DFD70000"/>
    <w:embedRegular r:id="rId7" w:fontKey="{C351A441-8FC5-4203-AAA0-7E4CC4D4E58D}"/>
  </w:font>
  <w:font w:name="楷体_GB2312">
    <w:altName w:val="楷体"/>
    <w:panose1 w:val="02010609030101010101"/>
    <w:charset w:val="86"/>
    <w:family w:val="modern"/>
    <w:pitch w:val="default"/>
    <w:sig w:usb0="00000000" w:usb1="00000000" w:usb2="00000000" w:usb3="00000000" w:csb0="00040000" w:csb1="00000000"/>
    <w:embedRegular r:id="rId8" w:fontKey="{69FDF6EC-B792-4321-B80E-F639495153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7A2D9">
    <w:pPr>
      <w:pStyle w:val="16"/>
      <w:wordWrap w:val="0"/>
      <w:spacing w:line="473" w:lineRule="auto"/>
      <w:ind w:right="308" w:rightChars="100"/>
      <w:jc w:val="right"/>
      <w:rPr>
        <w:rFonts w:hint="eastAsia" w:ascii="楷体_GB2312" w:eastAsia="楷体_GB2312"/>
        <w:sz w:val="28"/>
      </w:rPr>
    </w:pPr>
    <w:r>
      <w:rPr>
        <w:rStyle w:val="24"/>
        <w:rFonts w:hint="eastAsia" w:ascii="宋体" w:hAnsi="宋体" w:eastAsia="宋体"/>
        <w:sz w:val="28"/>
      </w:rPr>
      <w:t xml:space="preserve">— </w:t>
    </w:r>
    <w:r>
      <w:rPr>
        <w:rFonts w:hint="eastAsia" w:ascii="宋体" w:hAnsi="宋体" w:eastAsia="宋体"/>
        <w:sz w:val="28"/>
      </w:rPr>
      <w:fldChar w:fldCharType="begin"/>
    </w:r>
    <w:r>
      <w:rPr>
        <w:rStyle w:val="24"/>
        <w:rFonts w:hint="eastAsia" w:ascii="宋体" w:hAnsi="宋体" w:eastAsia="宋体"/>
        <w:sz w:val="28"/>
      </w:rPr>
      <w:instrText xml:space="preserve"> PAGE </w:instrText>
    </w:r>
    <w:r>
      <w:rPr>
        <w:rFonts w:hint="eastAsia" w:ascii="宋体" w:hAnsi="宋体" w:eastAsia="宋体"/>
        <w:sz w:val="28"/>
      </w:rPr>
      <w:fldChar w:fldCharType="separate"/>
    </w:r>
    <w:r>
      <w:rPr>
        <w:rStyle w:val="24"/>
        <w:rFonts w:ascii="宋体" w:hAnsi="宋体" w:eastAsia="宋体"/>
        <w:sz w:val="28"/>
      </w:rPr>
      <w:t>1</w:t>
    </w:r>
    <w:r>
      <w:rPr>
        <w:rFonts w:hint="eastAsia" w:ascii="宋体" w:hAnsi="宋体" w:eastAsia="宋体"/>
        <w:sz w:val="28"/>
      </w:rPr>
      <w:fldChar w:fldCharType="end"/>
    </w:r>
    <w:r>
      <w:rPr>
        <w:rFonts w:hint="eastAsia" w:ascii="宋体" w:hAnsi="宋体" w:eastAsia="宋体"/>
        <w:sz w:val="28"/>
      </w:rPr>
      <w:t xml:space="preserve"> </w:t>
    </w:r>
    <w:r>
      <w:rPr>
        <w:rStyle w:val="24"/>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44547">
    <w:pPr>
      <w:pStyle w:val="16"/>
      <w:rPr>
        <w:rStyle w:val="24"/>
        <w:rFonts w:ascii="宋体" w:eastAsia="宋体"/>
        <w:sz w:val="28"/>
      </w:rPr>
    </w:pPr>
    <w:r>
      <w:rPr>
        <w:rFonts w:ascii="宋体" w:eastAsia="宋体"/>
        <w:sz w:val="28"/>
      </w:rPr>
      <mc:AlternateContent>
        <mc:Choice Requires="wps">
          <w:drawing>
            <wp:anchor distT="0" distB="0" distL="114300" distR="114300" simplePos="0" relativeHeight="251659264" behindDoc="0" locked="0" layoutInCell="1" allowOverlap="1">
              <wp:simplePos x="0" y="0"/>
              <wp:positionH relativeFrom="margin">
                <wp:posOffset>93980</wp:posOffset>
              </wp:positionH>
              <wp:positionV relativeFrom="paragraph">
                <wp:posOffset>-226695</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B15943">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left:7.4pt;margin-top:-17.85pt;height:144pt;width:144pt;mso-position-horizontal-relative:margin;mso-wrap-style:none;z-index:251659264;mso-width-relative:page;mso-height-relative:page;" filled="f" stroked="f" coordsize="21600,21600" o:gfxdata="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qeJPq2QAAAAoBAAAPAAAAAAAAAAEAIAAA&#10;ACIAAABkcnMvZG93bnJldi54bWxQSwECFAAUAAAACACHTuJAhL113tIBAACkAwAADgAAAAAAAAAB&#10;ACAAAAAoAQAAZHJzL2Uyb0RvYy54bWxQSwUGAAAAAAYABgBZAQAAbAUAAAAA&#10;">
              <v:fill on="f" focussize="0,0"/>
              <v:stroke on="f" weight="1.25pt"/>
              <v:imagedata o:title=""/>
              <o:lock v:ext="edit" aspectratio="f"/>
              <v:textbox inset="0mm,0mm,0mm,0mm" style="mso-fit-shape-to-text:t;">
                <w:txbxContent>
                  <w:p w14:paraId="57B15943">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4523">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C25C8">
    <w:pPr>
      <w:pStyle w:val="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ZjgyMTc0MTQxMDg3ZDQxNDJhODE3MzJmODQxMDgifQ=="/>
  </w:docVars>
  <w:rsids>
    <w:rsidRoot w:val="00172A27"/>
    <w:rsid w:val="00007062"/>
    <w:rsid w:val="00007FC0"/>
    <w:rsid w:val="0001304D"/>
    <w:rsid w:val="00021430"/>
    <w:rsid w:val="000408F4"/>
    <w:rsid w:val="000A3D42"/>
    <w:rsid w:val="000B2DBE"/>
    <w:rsid w:val="000B7C4B"/>
    <w:rsid w:val="000D3AE5"/>
    <w:rsid w:val="000D558F"/>
    <w:rsid w:val="000D717F"/>
    <w:rsid w:val="001058D3"/>
    <w:rsid w:val="0011332C"/>
    <w:rsid w:val="00134135"/>
    <w:rsid w:val="001441CF"/>
    <w:rsid w:val="00151D40"/>
    <w:rsid w:val="00173FFC"/>
    <w:rsid w:val="00184EAF"/>
    <w:rsid w:val="00187E85"/>
    <w:rsid w:val="001A711C"/>
    <w:rsid w:val="001A757A"/>
    <w:rsid w:val="001B7F5E"/>
    <w:rsid w:val="001C19DB"/>
    <w:rsid w:val="001C28A4"/>
    <w:rsid w:val="001E5B62"/>
    <w:rsid w:val="001F0632"/>
    <w:rsid w:val="002007F6"/>
    <w:rsid w:val="00215BFB"/>
    <w:rsid w:val="00231FE9"/>
    <w:rsid w:val="0024622D"/>
    <w:rsid w:val="0025039B"/>
    <w:rsid w:val="0025593B"/>
    <w:rsid w:val="0026062B"/>
    <w:rsid w:val="00294E93"/>
    <w:rsid w:val="002C4A35"/>
    <w:rsid w:val="002E4BF9"/>
    <w:rsid w:val="00336A78"/>
    <w:rsid w:val="0034080A"/>
    <w:rsid w:val="00351299"/>
    <w:rsid w:val="00355580"/>
    <w:rsid w:val="003A40DB"/>
    <w:rsid w:val="003A6393"/>
    <w:rsid w:val="003C572D"/>
    <w:rsid w:val="003D40E6"/>
    <w:rsid w:val="003E0642"/>
    <w:rsid w:val="003F47F7"/>
    <w:rsid w:val="004155D7"/>
    <w:rsid w:val="00441724"/>
    <w:rsid w:val="00487DA0"/>
    <w:rsid w:val="00497C8A"/>
    <w:rsid w:val="004E64AF"/>
    <w:rsid w:val="00524506"/>
    <w:rsid w:val="0052651F"/>
    <w:rsid w:val="005850AA"/>
    <w:rsid w:val="00593187"/>
    <w:rsid w:val="005A0CBC"/>
    <w:rsid w:val="005A401A"/>
    <w:rsid w:val="005B29CE"/>
    <w:rsid w:val="005E3E85"/>
    <w:rsid w:val="00626475"/>
    <w:rsid w:val="00650EA4"/>
    <w:rsid w:val="00655D1E"/>
    <w:rsid w:val="00664076"/>
    <w:rsid w:val="00691D1D"/>
    <w:rsid w:val="0069622B"/>
    <w:rsid w:val="00697E57"/>
    <w:rsid w:val="006C16EA"/>
    <w:rsid w:val="006E7BBB"/>
    <w:rsid w:val="006F5821"/>
    <w:rsid w:val="006F5931"/>
    <w:rsid w:val="007276C9"/>
    <w:rsid w:val="0073707D"/>
    <w:rsid w:val="0075425B"/>
    <w:rsid w:val="00756E6D"/>
    <w:rsid w:val="00763C0F"/>
    <w:rsid w:val="00770030"/>
    <w:rsid w:val="00777AAC"/>
    <w:rsid w:val="007872BB"/>
    <w:rsid w:val="007968B7"/>
    <w:rsid w:val="007A0ECE"/>
    <w:rsid w:val="00822DDB"/>
    <w:rsid w:val="00854682"/>
    <w:rsid w:val="00874EF6"/>
    <w:rsid w:val="00896097"/>
    <w:rsid w:val="008B2D7F"/>
    <w:rsid w:val="008B6DC6"/>
    <w:rsid w:val="008C23A5"/>
    <w:rsid w:val="0090523D"/>
    <w:rsid w:val="009079E7"/>
    <w:rsid w:val="00922FA7"/>
    <w:rsid w:val="00956639"/>
    <w:rsid w:val="00971D5D"/>
    <w:rsid w:val="00985105"/>
    <w:rsid w:val="00991CC1"/>
    <w:rsid w:val="00994875"/>
    <w:rsid w:val="00996FCE"/>
    <w:rsid w:val="009A3F48"/>
    <w:rsid w:val="009D5161"/>
    <w:rsid w:val="009E213A"/>
    <w:rsid w:val="00A05A30"/>
    <w:rsid w:val="00A11B5D"/>
    <w:rsid w:val="00A15290"/>
    <w:rsid w:val="00A16835"/>
    <w:rsid w:val="00A318AB"/>
    <w:rsid w:val="00A31E2D"/>
    <w:rsid w:val="00A37975"/>
    <w:rsid w:val="00A40377"/>
    <w:rsid w:val="00A530F9"/>
    <w:rsid w:val="00A6078B"/>
    <w:rsid w:val="00A610B1"/>
    <w:rsid w:val="00A6139E"/>
    <w:rsid w:val="00A85E8A"/>
    <w:rsid w:val="00A9474E"/>
    <w:rsid w:val="00A94F47"/>
    <w:rsid w:val="00AC0EDA"/>
    <w:rsid w:val="00AD5899"/>
    <w:rsid w:val="00AE41AA"/>
    <w:rsid w:val="00AF4F58"/>
    <w:rsid w:val="00B0010F"/>
    <w:rsid w:val="00B058B7"/>
    <w:rsid w:val="00B07127"/>
    <w:rsid w:val="00B12059"/>
    <w:rsid w:val="00B12AF4"/>
    <w:rsid w:val="00B14D2A"/>
    <w:rsid w:val="00B320C1"/>
    <w:rsid w:val="00B44BCC"/>
    <w:rsid w:val="00B51125"/>
    <w:rsid w:val="00B63318"/>
    <w:rsid w:val="00B865BD"/>
    <w:rsid w:val="00BB194E"/>
    <w:rsid w:val="00BB2214"/>
    <w:rsid w:val="00BD10BB"/>
    <w:rsid w:val="00BE1808"/>
    <w:rsid w:val="00C2011C"/>
    <w:rsid w:val="00C4244F"/>
    <w:rsid w:val="00C44A37"/>
    <w:rsid w:val="00C559FF"/>
    <w:rsid w:val="00C64766"/>
    <w:rsid w:val="00C66418"/>
    <w:rsid w:val="00C7173A"/>
    <w:rsid w:val="00C71F29"/>
    <w:rsid w:val="00C75F26"/>
    <w:rsid w:val="00C9122D"/>
    <w:rsid w:val="00C913CB"/>
    <w:rsid w:val="00C942D7"/>
    <w:rsid w:val="00CC270E"/>
    <w:rsid w:val="00CD17F7"/>
    <w:rsid w:val="00CD34AC"/>
    <w:rsid w:val="00CF1941"/>
    <w:rsid w:val="00D16AB7"/>
    <w:rsid w:val="00D5331A"/>
    <w:rsid w:val="00D9378C"/>
    <w:rsid w:val="00D95604"/>
    <w:rsid w:val="00DB11BD"/>
    <w:rsid w:val="00DB5BBC"/>
    <w:rsid w:val="00DC1621"/>
    <w:rsid w:val="00DE72F1"/>
    <w:rsid w:val="00DF1779"/>
    <w:rsid w:val="00DF3A7C"/>
    <w:rsid w:val="00DF77FA"/>
    <w:rsid w:val="00E3134A"/>
    <w:rsid w:val="00E724E4"/>
    <w:rsid w:val="00E84D95"/>
    <w:rsid w:val="00E8685C"/>
    <w:rsid w:val="00E874F1"/>
    <w:rsid w:val="00EA562A"/>
    <w:rsid w:val="00EB48AC"/>
    <w:rsid w:val="00EC1831"/>
    <w:rsid w:val="00EC317D"/>
    <w:rsid w:val="00EC66EC"/>
    <w:rsid w:val="00EE254E"/>
    <w:rsid w:val="00EF561B"/>
    <w:rsid w:val="00EF7A6A"/>
    <w:rsid w:val="00F81A3C"/>
    <w:rsid w:val="00F85EA4"/>
    <w:rsid w:val="00F86118"/>
    <w:rsid w:val="00F95E2B"/>
    <w:rsid w:val="00FB429F"/>
    <w:rsid w:val="00FD2547"/>
    <w:rsid w:val="01687E26"/>
    <w:rsid w:val="01E65CA9"/>
    <w:rsid w:val="03196F07"/>
    <w:rsid w:val="032751D1"/>
    <w:rsid w:val="0351508B"/>
    <w:rsid w:val="05790236"/>
    <w:rsid w:val="06D373CC"/>
    <w:rsid w:val="07CA293D"/>
    <w:rsid w:val="08A6123D"/>
    <w:rsid w:val="0B2313FC"/>
    <w:rsid w:val="0C370689"/>
    <w:rsid w:val="0E9612B1"/>
    <w:rsid w:val="0F0A1507"/>
    <w:rsid w:val="0FC84B70"/>
    <w:rsid w:val="10805E64"/>
    <w:rsid w:val="10E20B40"/>
    <w:rsid w:val="11882ED5"/>
    <w:rsid w:val="12297BC2"/>
    <w:rsid w:val="13CD30D6"/>
    <w:rsid w:val="143B75BD"/>
    <w:rsid w:val="15913BF2"/>
    <w:rsid w:val="15987A4B"/>
    <w:rsid w:val="163E33C6"/>
    <w:rsid w:val="174F65A0"/>
    <w:rsid w:val="17A0154D"/>
    <w:rsid w:val="18D71B4A"/>
    <w:rsid w:val="18D771F0"/>
    <w:rsid w:val="1AC15A62"/>
    <w:rsid w:val="1B210BF7"/>
    <w:rsid w:val="1C2E048B"/>
    <w:rsid w:val="1E5E78AC"/>
    <w:rsid w:val="1F132604"/>
    <w:rsid w:val="1F6A105D"/>
    <w:rsid w:val="21B31E7D"/>
    <w:rsid w:val="25227A45"/>
    <w:rsid w:val="27127645"/>
    <w:rsid w:val="29DF48AB"/>
    <w:rsid w:val="2A2B172A"/>
    <w:rsid w:val="2CE341B5"/>
    <w:rsid w:val="2DD02422"/>
    <w:rsid w:val="2DD2603B"/>
    <w:rsid w:val="2E841EC5"/>
    <w:rsid w:val="2EF43253"/>
    <w:rsid w:val="2F4E2FA9"/>
    <w:rsid w:val="31C854D0"/>
    <w:rsid w:val="32803DE2"/>
    <w:rsid w:val="32DC411E"/>
    <w:rsid w:val="338C45EE"/>
    <w:rsid w:val="34912E94"/>
    <w:rsid w:val="382F43FF"/>
    <w:rsid w:val="3BB10944"/>
    <w:rsid w:val="3D7F5A4E"/>
    <w:rsid w:val="3DD87553"/>
    <w:rsid w:val="3EE66F8F"/>
    <w:rsid w:val="3F3F1BD0"/>
    <w:rsid w:val="40BB2DD0"/>
    <w:rsid w:val="4119341B"/>
    <w:rsid w:val="4170070A"/>
    <w:rsid w:val="419E6238"/>
    <w:rsid w:val="41D7554B"/>
    <w:rsid w:val="41EA08B5"/>
    <w:rsid w:val="42C56F2E"/>
    <w:rsid w:val="43675823"/>
    <w:rsid w:val="443B7D84"/>
    <w:rsid w:val="44AB1EDA"/>
    <w:rsid w:val="47AF6ABF"/>
    <w:rsid w:val="47BE0940"/>
    <w:rsid w:val="487216E8"/>
    <w:rsid w:val="4A1F2F40"/>
    <w:rsid w:val="4AEA275C"/>
    <w:rsid w:val="4D103122"/>
    <w:rsid w:val="4D3F2693"/>
    <w:rsid w:val="4DB0533F"/>
    <w:rsid w:val="4EAD5D22"/>
    <w:rsid w:val="50EB396B"/>
    <w:rsid w:val="52DB4B60"/>
    <w:rsid w:val="54890353"/>
    <w:rsid w:val="55002484"/>
    <w:rsid w:val="563F54B2"/>
    <w:rsid w:val="566D6B57"/>
    <w:rsid w:val="5954438D"/>
    <w:rsid w:val="59DB7BE7"/>
    <w:rsid w:val="59F2362F"/>
    <w:rsid w:val="5BD11C44"/>
    <w:rsid w:val="5C5F065B"/>
    <w:rsid w:val="5C693B68"/>
    <w:rsid w:val="5F553706"/>
    <w:rsid w:val="61747F98"/>
    <w:rsid w:val="61C8158A"/>
    <w:rsid w:val="61FC621E"/>
    <w:rsid w:val="6274144F"/>
    <w:rsid w:val="62AF4177"/>
    <w:rsid w:val="65990E75"/>
    <w:rsid w:val="6668169E"/>
    <w:rsid w:val="67B35D40"/>
    <w:rsid w:val="68464DC5"/>
    <w:rsid w:val="69023BD7"/>
    <w:rsid w:val="6C55074B"/>
    <w:rsid w:val="6E9C0F62"/>
    <w:rsid w:val="6EC07540"/>
    <w:rsid w:val="70F37253"/>
    <w:rsid w:val="710760B3"/>
    <w:rsid w:val="73C34996"/>
    <w:rsid w:val="74B231F1"/>
    <w:rsid w:val="75625727"/>
    <w:rsid w:val="7A62683F"/>
    <w:rsid w:val="7A8F5AA2"/>
    <w:rsid w:val="7B0E008E"/>
    <w:rsid w:val="7C3C358D"/>
    <w:rsid w:val="7C7C44BA"/>
    <w:rsid w:val="7C9537CE"/>
    <w:rsid w:val="7CD9612E"/>
    <w:rsid w:val="7E6359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overflowPunct w:val="0"/>
      <w:topLinePunct/>
      <w:autoSpaceDN w:val="0"/>
      <w:jc w:val="both"/>
    </w:pPr>
    <w:rPr>
      <w:rFonts w:ascii="Times New Roman" w:hAnsi="Times New Roman" w:eastAsia="仿宋_GB2312" w:cs="Times New Roman"/>
      <w:spacing w:val="-6"/>
      <w:kern w:val="2"/>
      <w:sz w:val="32"/>
      <w:szCs w:val="32"/>
      <w:lang w:bidi="ar-SA"/>
    </w:rPr>
  </w:style>
  <w:style w:type="paragraph" w:styleId="2">
    <w:name w:val="heading 1"/>
    <w:next w:val="1"/>
    <w:autoRedefine/>
    <w:qFormat/>
    <w:uiPriority w:val="0"/>
    <w:pPr>
      <w:keepNext w:val="0"/>
      <w:keepLines w:val="0"/>
      <w:widowControl w:val="0"/>
      <w:overflowPunct w:val="0"/>
      <w:topLinePunct/>
      <w:autoSpaceDN/>
      <w:spacing w:beforeLines="0" w:beforeAutospacing="0" w:afterLines="0" w:afterAutospacing="0" w:line="240" w:lineRule="auto"/>
      <w:ind w:firstLine="628" w:firstLineChars="200"/>
      <w:jc w:val="both"/>
      <w:outlineLvl w:val="0"/>
    </w:pPr>
    <w:rPr>
      <w:rFonts w:ascii="Times New Roman" w:hAnsi="Times New Roman" w:eastAsia="黑体" w:cs="Times New Roman"/>
      <w:spacing w:val="-6"/>
      <w:kern w:val="2"/>
      <w:sz w:val="32"/>
      <w:szCs w:val="32"/>
      <w:lang w:bidi="ar-SA"/>
    </w:rPr>
  </w:style>
  <w:style w:type="paragraph" w:styleId="3">
    <w:name w:val="heading 2"/>
    <w:next w:val="1"/>
    <w:autoRedefine/>
    <w:unhideWhenUsed/>
    <w:qFormat/>
    <w:uiPriority w:val="0"/>
    <w:pPr>
      <w:keepNext w:val="0"/>
      <w:keepLines w:val="0"/>
      <w:widowControl w:val="0"/>
      <w:overflowPunct w:val="0"/>
      <w:topLinePunct/>
      <w:autoSpaceDN/>
      <w:spacing w:beforeLines="0" w:beforeAutospacing="0" w:afterLines="0" w:afterAutospacing="0" w:line="240" w:lineRule="auto"/>
      <w:ind w:firstLine="628" w:firstLineChars="200"/>
      <w:jc w:val="both"/>
      <w:outlineLvl w:val="1"/>
    </w:pPr>
    <w:rPr>
      <w:rFonts w:ascii="Times New Roman" w:hAnsi="Times New Roman" w:eastAsia="楷体" w:cs="Times New Roman"/>
      <w:spacing w:val="-6"/>
      <w:kern w:val="2"/>
      <w:sz w:val="32"/>
      <w:szCs w:val="32"/>
      <w:lang w:bidi="ar-SA"/>
    </w:rPr>
  </w:style>
  <w:style w:type="paragraph" w:styleId="4">
    <w:name w:val="heading 3"/>
    <w:next w:val="1"/>
    <w:autoRedefine/>
    <w:unhideWhenUsed/>
    <w:qFormat/>
    <w:uiPriority w:val="0"/>
    <w:pPr>
      <w:keepNext w:val="0"/>
      <w:keepLines w:val="0"/>
      <w:widowControl w:val="0"/>
      <w:overflowPunct w:val="0"/>
      <w:topLinePunct/>
      <w:autoSpaceDN/>
      <w:spacing w:beforeLines="0" w:beforeAutospacing="0" w:afterLines="0" w:afterAutospacing="0" w:line="240" w:lineRule="auto"/>
      <w:ind w:firstLine="628" w:firstLineChars="200"/>
      <w:jc w:val="both"/>
      <w:outlineLvl w:val="2"/>
    </w:pPr>
    <w:rPr>
      <w:rFonts w:ascii="Times New Roman" w:hAnsi="Times New Roman" w:eastAsia="仿宋" w:cs="Times New Roman"/>
      <w:spacing w:val="-6"/>
      <w:kern w:val="2"/>
      <w:sz w:val="32"/>
      <w:szCs w:val="32"/>
      <w:lang w:bidi="ar-SA"/>
    </w:rPr>
  </w:style>
  <w:style w:type="paragraph" w:styleId="5">
    <w:name w:val="heading 4"/>
    <w:next w:val="1"/>
    <w:autoRedefine/>
    <w:unhideWhenUsed/>
    <w:qFormat/>
    <w:uiPriority w:val="0"/>
    <w:pPr>
      <w:keepNext w:val="0"/>
      <w:keepLines w:val="0"/>
      <w:widowControl w:val="0"/>
      <w:overflowPunct w:val="0"/>
      <w:topLinePunct/>
      <w:autoSpaceDN/>
      <w:spacing w:beforeLines="0" w:beforeAutospacing="0" w:afterLines="0" w:afterAutospacing="0" w:line="240" w:lineRule="auto"/>
      <w:ind w:firstLine="628" w:firstLineChars="200"/>
      <w:jc w:val="both"/>
      <w:outlineLvl w:val="3"/>
    </w:pPr>
    <w:rPr>
      <w:rFonts w:ascii="Times New Roman" w:hAnsi="Times New Roman" w:eastAsia="仿宋" w:cs="Times New Roman"/>
      <w:spacing w:val="-6"/>
      <w:kern w:val="2"/>
      <w:sz w:val="32"/>
      <w:szCs w:val="32"/>
      <w:lang w:bidi="ar-SA"/>
    </w:rPr>
  </w:style>
  <w:style w:type="paragraph" w:styleId="6">
    <w:name w:val="heading 5"/>
    <w:next w:val="1"/>
    <w:autoRedefine/>
    <w:unhideWhenUsed/>
    <w:qFormat/>
    <w:uiPriority w:val="0"/>
    <w:pPr>
      <w:keepNext/>
      <w:keepLines/>
      <w:widowControl w:val="0"/>
      <w:overflowPunct w:val="0"/>
      <w:topLinePunct/>
      <w:autoSpaceDN w:val="0"/>
      <w:spacing w:beforeLines="0" w:beforeAutospacing="0" w:afterLines="0" w:afterAutospacing="0" w:line="240" w:lineRule="auto"/>
      <w:ind w:firstLine="632" w:firstLineChars="200"/>
      <w:jc w:val="both"/>
      <w:outlineLvl w:val="4"/>
    </w:pPr>
    <w:rPr>
      <w:rFonts w:ascii="Times New Roman" w:hAnsi="Times New Roman" w:eastAsia="仿宋_GB2312" w:cs="Times New Roman"/>
      <w:spacing w:val="-6"/>
      <w:kern w:val="2"/>
      <w:sz w:val="32"/>
      <w:szCs w:val="32"/>
      <w:lang w:bidi="ar-SA"/>
    </w:rPr>
  </w:style>
  <w:style w:type="paragraph" w:styleId="7">
    <w:name w:val="heading 6"/>
    <w:next w:val="1"/>
    <w:autoRedefine/>
    <w:unhideWhenUsed/>
    <w:qFormat/>
    <w:uiPriority w:val="0"/>
    <w:pPr>
      <w:keepNext/>
      <w:keepLines/>
      <w:widowControl w:val="0"/>
      <w:overflowPunct w:val="0"/>
      <w:topLinePunct/>
      <w:autoSpaceDN w:val="0"/>
      <w:spacing w:beforeLines="0" w:beforeAutospacing="0" w:afterLines="0" w:afterAutospacing="0" w:line="240" w:lineRule="auto"/>
      <w:ind w:firstLine="632" w:firstLineChars="200"/>
      <w:jc w:val="both"/>
      <w:outlineLvl w:val="5"/>
    </w:pPr>
    <w:rPr>
      <w:rFonts w:ascii="Times New Roman" w:hAnsi="Times New Roman" w:eastAsia="仿宋_GB2312" w:cs="Times New Roman"/>
      <w:spacing w:val="-6"/>
      <w:kern w:val="2"/>
      <w:sz w:val="32"/>
      <w:szCs w:val="32"/>
      <w:lang w:bidi="ar-SA"/>
    </w:rPr>
  </w:style>
  <w:style w:type="paragraph" w:styleId="8">
    <w:name w:val="heading 7"/>
    <w:next w:val="1"/>
    <w:autoRedefine/>
    <w:unhideWhenUsed/>
    <w:qFormat/>
    <w:uiPriority w:val="0"/>
    <w:pPr>
      <w:keepNext/>
      <w:keepLines/>
      <w:widowControl w:val="0"/>
      <w:overflowPunct w:val="0"/>
      <w:topLinePunct/>
      <w:autoSpaceDN w:val="0"/>
      <w:spacing w:beforeLines="0" w:beforeAutospacing="0" w:afterLines="0" w:afterAutospacing="0" w:line="240" w:lineRule="auto"/>
      <w:ind w:firstLine="632" w:firstLineChars="200"/>
      <w:jc w:val="both"/>
      <w:outlineLvl w:val="6"/>
    </w:pPr>
    <w:rPr>
      <w:rFonts w:ascii="Times New Roman" w:hAnsi="Times New Roman" w:eastAsia="仿宋_GB2312" w:cs="Times New Roman"/>
      <w:spacing w:val="-6"/>
      <w:kern w:val="2"/>
      <w:sz w:val="32"/>
      <w:szCs w:val="32"/>
      <w:lang w:bidi="ar-SA"/>
    </w:rPr>
  </w:style>
  <w:style w:type="paragraph" w:styleId="9">
    <w:name w:val="heading 8"/>
    <w:next w:val="1"/>
    <w:autoRedefine/>
    <w:unhideWhenUsed/>
    <w:qFormat/>
    <w:uiPriority w:val="0"/>
    <w:pPr>
      <w:keepNext/>
      <w:keepLines/>
      <w:widowControl w:val="0"/>
      <w:overflowPunct w:val="0"/>
      <w:topLinePunct/>
      <w:autoSpaceDN w:val="0"/>
      <w:spacing w:beforeLines="0" w:beforeAutospacing="0" w:afterLines="0" w:afterAutospacing="0" w:line="240" w:lineRule="auto"/>
      <w:ind w:firstLine="632" w:firstLineChars="200"/>
      <w:jc w:val="both"/>
      <w:outlineLvl w:val="7"/>
    </w:pPr>
    <w:rPr>
      <w:rFonts w:ascii="Times New Roman" w:hAnsi="Times New Roman" w:eastAsia="仿宋_GB2312" w:cs="Times New Roman"/>
      <w:spacing w:val="-6"/>
      <w:kern w:val="2"/>
      <w:sz w:val="32"/>
      <w:szCs w:val="32"/>
      <w:lang w:bidi="ar-SA"/>
    </w:rPr>
  </w:style>
  <w:style w:type="paragraph" w:styleId="10">
    <w:name w:val="heading 9"/>
    <w:next w:val="1"/>
    <w:autoRedefine/>
    <w:unhideWhenUsed/>
    <w:qFormat/>
    <w:uiPriority w:val="0"/>
    <w:pPr>
      <w:keepNext/>
      <w:keepLines/>
      <w:widowControl w:val="0"/>
      <w:overflowPunct w:val="0"/>
      <w:topLinePunct/>
      <w:autoSpaceDN w:val="0"/>
      <w:spacing w:beforeLines="0" w:beforeAutospacing="0" w:afterLines="0" w:afterAutospacing="0" w:line="240" w:lineRule="auto"/>
      <w:ind w:firstLine="632" w:firstLineChars="200"/>
      <w:jc w:val="both"/>
      <w:outlineLvl w:val="8"/>
    </w:pPr>
    <w:rPr>
      <w:rFonts w:ascii="Times New Roman" w:hAnsi="Times New Roman" w:eastAsia="仿宋_GB2312" w:cs="Times New Roman"/>
      <w:spacing w:val="-6"/>
      <w:kern w:val="2"/>
      <w:sz w:val="32"/>
      <w:szCs w:val="32"/>
      <w:lang w:bidi="ar-SA"/>
    </w:rPr>
  </w:style>
  <w:style w:type="character" w:default="1" w:styleId="23">
    <w:name w:val="Default Paragraph Font"/>
    <w:autoRedefine/>
    <w:qFormat/>
    <w:uiPriority w:val="0"/>
  </w:style>
  <w:style w:type="table" w:default="1" w:styleId="21">
    <w:name w:val="Normal Table"/>
    <w:autoRedefine/>
    <w:unhideWhenUsed/>
    <w:qFormat/>
    <w:uiPriority w:val="99"/>
    <w:tblPr>
      <w:tblCellMar>
        <w:top w:w="0" w:type="dxa"/>
        <w:left w:w="108" w:type="dxa"/>
        <w:bottom w:w="0" w:type="dxa"/>
        <w:right w:w="108" w:type="dxa"/>
      </w:tblCellMar>
    </w:tblPr>
  </w:style>
  <w:style w:type="paragraph" w:styleId="11">
    <w:name w:val="Body Text 3"/>
    <w:basedOn w:val="1"/>
    <w:autoRedefine/>
    <w:qFormat/>
    <w:uiPriority w:val="0"/>
    <w:pPr>
      <w:jc w:val="center"/>
    </w:pPr>
    <w:rPr>
      <w:sz w:val="24"/>
      <w:szCs w:val="20"/>
    </w:rPr>
  </w:style>
  <w:style w:type="paragraph" w:styleId="12">
    <w:name w:val="Body Text"/>
    <w:autoRedefine/>
    <w:qFormat/>
    <w:uiPriority w:val="0"/>
    <w:pPr>
      <w:widowControl w:val="0"/>
      <w:overflowPunct w:val="0"/>
      <w:topLinePunct/>
      <w:autoSpaceDN/>
      <w:spacing w:afterLines="0" w:afterAutospacing="0"/>
      <w:ind w:firstLine="632" w:firstLineChars="200"/>
      <w:jc w:val="both"/>
    </w:pPr>
    <w:rPr>
      <w:rFonts w:ascii="Times New Roman" w:hAnsi="Times New Roman" w:eastAsia="仿宋_GB2312" w:cs="Times New Roman"/>
      <w:spacing w:val="-6"/>
      <w:kern w:val="2"/>
      <w:sz w:val="32"/>
      <w:szCs w:val="32"/>
      <w:lang w:bidi="ar-SA"/>
    </w:rPr>
  </w:style>
  <w:style w:type="paragraph" w:styleId="13">
    <w:name w:val="Plain Text"/>
    <w:basedOn w:val="1"/>
    <w:autoRedefine/>
    <w:qFormat/>
    <w:uiPriority w:val="0"/>
    <w:pPr>
      <w:adjustRightInd w:val="0"/>
    </w:pPr>
    <w:rPr>
      <w:rFonts w:ascii="宋体" w:hAnsi="Courier New"/>
      <w:szCs w:val="20"/>
    </w:rPr>
  </w:style>
  <w:style w:type="paragraph" w:styleId="14">
    <w:name w:val="Date"/>
    <w:basedOn w:val="1"/>
    <w:next w:val="1"/>
    <w:autoRedefine/>
    <w:qFormat/>
    <w:uiPriority w:val="0"/>
    <w:pPr>
      <w:ind w:left="100" w:leftChars="2500"/>
    </w:pPr>
  </w:style>
  <w:style w:type="paragraph" w:styleId="15">
    <w:name w:val="Balloon Text"/>
    <w:basedOn w:val="1"/>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link w:val="2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Subtitle"/>
    <w:autoRedefine/>
    <w:qFormat/>
    <w:uiPriority w:val="0"/>
    <w:pPr>
      <w:widowControl w:val="0"/>
      <w:overflowPunct w:val="0"/>
      <w:topLinePunct/>
      <w:autoSpaceDN w:val="0"/>
      <w:spacing w:beforeLines="0" w:beforeAutospacing="0" w:afterLines="0" w:afterAutospacing="0" w:line="240" w:lineRule="auto"/>
      <w:jc w:val="center"/>
      <w:outlineLvl w:val="9"/>
    </w:pPr>
    <w:rPr>
      <w:rFonts w:ascii="Times New Roman" w:hAnsi="Times New Roman" w:eastAsia="方正小标宋_GBK" w:cs="Times New Roman"/>
      <w:spacing w:val="-6"/>
      <w:kern w:val="28"/>
      <w:sz w:val="32"/>
      <w:szCs w:val="32"/>
      <w:lang w:bidi="ar-SA"/>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Title"/>
    <w:autoRedefine/>
    <w:qFormat/>
    <w:uiPriority w:val="0"/>
    <w:pPr>
      <w:widowControl w:val="0"/>
      <w:overflowPunct w:val="0"/>
      <w:topLinePunct/>
      <w:autoSpaceDN w:val="0"/>
      <w:spacing w:beforeLines="0" w:beforeAutospacing="0" w:afterLines="0" w:afterAutospacing="0"/>
      <w:jc w:val="center"/>
      <w:outlineLvl w:val="9"/>
    </w:pPr>
    <w:rPr>
      <w:rFonts w:ascii="Times New Roman" w:hAnsi="Times New Roman" w:eastAsia="方正小标宋_GBK" w:cs="Times New Roman"/>
      <w:spacing w:val="-6"/>
      <w:kern w:val="2"/>
      <w:sz w:val="44"/>
      <w:szCs w:val="32"/>
      <w:lang w:bidi="ar-SA"/>
    </w:rPr>
  </w:style>
  <w:style w:type="table" w:styleId="22">
    <w:name w:val="Table Grid"/>
    <w:basedOn w:val="21"/>
    <w:autoRedefine/>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autoRedefine/>
    <w:qFormat/>
    <w:uiPriority w:val="0"/>
  </w:style>
  <w:style w:type="character" w:styleId="25">
    <w:name w:val="Hyperlink"/>
    <w:autoRedefine/>
    <w:qFormat/>
    <w:uiPriority w:val="0"/>
    <w:rPr>
      <w:color w:val="0000FF"/>
      <w:u w:val="single"/>
    </w:rPr>
  </w:style>
  <w:style w:type="character" w:customStyle="1" w:styleId="26">
    <w:name w:val="页眉 Char"/>
    <w:link w:val="17"/>
    <w:autoRedefine/>
    <w:qFormat/>
    <w:uiPriority w:val="99"/>
    <w:rPr>
      <w:kern w:val="2"/>
      <w:sz w:val="18"/>
      <w:szCs w:val="24"/>
    </w:rPr>
  </w:style>
  <w:style w:type="paragraph" w:customStyle="1" w:styleId="27">
    <w:name w:val="p0"/>
    <w:basedOn w:val="1"/>
    <w:autoRedefine/>
    <w:qFormat/>
    <w:uiPriority w:val="0"/>
    <w:pPr>
      <w:widowControl/>
    </w:pPr>
    <w:rPr>
      <w:rFonts w:ascii="Calibri" w:hAnsi="Calibri" w:cs="宋体"/>
      <w:kern w:val="0"/>
      <w:szCs w:val="21"/>
    </w:rPr>
  </w:style>
  <w:style w:type="paragraph" w:customStyle="1" w:styleId="28">
    <w:name w:val="p15"/>
    <w:basedOn w:val="1"/>
    <w:autoRedefine/>
    <w:qFormat/>
    <w:uiPriority w:val="0"/>
    <w:pPr>
      <w:widowControl/>
    </w:pPr>
    <w:rPr>
      <w:kern w:val="0"/>
      <w:szCs w:val="21"/>
    </w:rPr>
  </w:style>
  <w:style w:type="paragraph" w:styleId="29">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7</Pages>
  <Words>2060</Words>
  <Characters>2189</Characters>
  <Lines>8</Lines>
  <Paragraphs>2</Paragraphs>
  <TotalTime>3</TotalTime>
  <ScaleCrop>false</ScaleCrop>
  <LinksUpToDate>false</LinksUpToDate>
  <CharactersWithSpaces>2372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2019-12-09T08:42:00Z</dcterms:created>
  <dc:creator>微软用户</dc:creator>
  <cp:lastModifiedBy>前方节能反应</cp:lastModifiedBy>
  <cp:lastPrinted>2025-03-07T06:01:00Z</cp:lastPrinted>
  <dcterms:modified xsi:type="dcterms:W3CDTF">2025-03-31T10:39:51Z</dcterms:modified>
  <dc:title>上海市工程建设质量管理协会</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eyJoZGlkIjoiYTk4OTY2ZDIyNDMwMzFiMGRlMDAzNmZkZWVjNjU0NDciLCJ1c2VySWQiOiI3NTg0NDM5NTYifQ==</vt:lpwstr>
  </property>
  <property fmtid="{D5CDD505-2E9C-101B-9397-08002B2CF9AE}" pid="4" name="ICV">
    <vt:lpwstr>6B56270507384B9A9FAD509C8E2D346E_13</vt:lpwstr>
  </property>
</Properties>
</file>